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Vendor (Third-Party) Management Policy</w:t>
      </w:r>
    </w:p>
    <w:p>
      <w:pPr>
        <w:spacing w:after="200" w:before="0"/>
      </w:pPr>
      <w:r>
        <w:rPr>
          <w:b w:val="0"/>
          <w:i w:val="0"/>
          <w:color w:val="5B6B7C"/>
          <w:sz w:val="21"/>
        </w:rPr>
        <w:t>Policy  |  Document ID POL-TPM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Vendor (Third-Party) Management Policy</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POL-TPM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policy defines how </w:t>
      </w:r>
      <w:r>
        <w:rPr>
          <w:b w:val="0"/>
          <w:i w:val="0"/>
          <w:highlight w:val="yellow"/>
        </w:rPr>
        <w:t>[Company Name]</w:t>
      </w:r>
      <w:r>
        <w:rPr>
          <w:b w:val="0"/>
          <w:i w:val="0"/>
        </w:rPr>
        <w:t xml:space="preserve"> manages the information security, privacy, resilience and delivery risk that comes from using suppliers, service providers, partners and cloud services. Using a supplier does not transfer accountability: </w:t>
      </w:r>
      <w:r>
        <w:rPr>
          <w:b w:val="0"/>
          <w:i w:val="0"/>
          <w:highlight w:val="yellow"/>
        </w:rPr>
        <w:t>[Company Name]</w:t>
      </w:r>
      <w:r>
        <w:rPr>
          <w:b w:val="0"/>
          <w:i w:val="0"/>
        </w:rPr>
        <w:t xml:space="preserve"> remains responsible for its own information and services.</w:t>
      </w:r>
    </w:p>
    <w:p>
      <w:pPr>
        <w:spacing w:after="80" w:before="0"/>
      </w:pPr>
      <w:r>
        <w:rPr>
          <w:b w:val="0"/>
          <w:i w:val="0"/>
        </w:rPr>
        <w:t>The depth of scrutiny increases with the importance of the supplier and the sensitivity of what it handles.</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 xml:space="preserve">All third parties that process, store or access </w:t>
      </w:r>
      <w:r>
        <w:rPr>
          <w:b w:val="0"/>
          <w:i w:val="0"/>
          <w:highlight w:val="yellow"/>
        </w:rPr>
        <w:t>[Company Name]</w:t>
      </w:r>
      <w:r>
        <w:rPr>
          <w:b w:val="0"/>
          <w:i w:val="0"/>
        </w:rPr>
        <w:t xml:space="preserve"> information, connect to its systems, or deliver a service the business depends on.</w:t>
      </w:r>
    </w:p>
    <w:p>
      <w:pPr>
        <w:tabs>
          <w:tab w:pos="567" w:val="left"/>
        </w:tabs>
        <w:spacing w:after="40"/>
        <w:ind w:left="567" w:hanging="283"/>
      </w:pPr>
      <w:r>
        <w:t>•</w:t>
        <w:tab/>
      </w:r>
      <w:r>
        <w:rPr>
          <w:b w:val="0"/>
          <w:i w:val="0"/>
        </w:rPr>
        <w:t>Software-as-a-service, infrastructure and platform providers, outsourcers, consultants, contractors engaged through agencies, and affiliates.</w:t>
      </w:r>
    </w:p>
    <w:p>
      <w:pPr>
        <w:tabs>
          <w:tab w:pos="567" w:val="left"/>
        </w:tabs>
        <w:spacing w:after="40"/>
        <w:ind w:left="567" w:hanging="283"/>
      </w:pPr>
      <w:r>
        <w:t>•</w:t>
        <w:tab/>
      </w:r>
      <w:r>
        <w:rPr>
          <w:b w:val="0"/>
          <w:i w:val="0"/>
        </w:rPr>
        <w:t>The whole relationship lifecycle: selection, onboarding, operation, change and exit.</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Business owner</w:t>
            </w:r>
          </w:p>
        </w:tc>
        <w:tc>
          <w:tcPr>
            <w:tcW w:type="dxa" w:w="6803"/>
          </w:tcPr>
          <w:p>
            <w:pPr>
              <w:spacing w:after="0"/>
            </w:pPr>
            <w:r/>
            <w:r>
              <w:rPr>
                <w:b w:val="0"/>
                <w:i w:val="0"/>
                <w:sz w:val="19"/>
              </w:rPr>
              <w:t>Sponsors the supplier, owns the relationship and risk, and completes periodic reviews of their suppliers.</w:t>
            </w:r>
          </w:p>
        </w:tc>
      </w:tr>
      <w:tr>
        <w:trPr>
          <w:cantSplit w:val="true"/>
        </w:trPr>
        <w:tc>
          <w:tcPr>
            <w:tcW w:type="dxa" w:w="2835"/>
          </w:tcPr>
          <w:p>
            <w:pPr>
              <w:spacing w:after="0"/>
            </w:pPr>
            <w:r/>
            <w:r>
              <w:rPr>
                <w:b w:val="0"/>
                <w:i w:val="0"/>
                <w:sz w:val="19"/>
              </w:rPr>
              <w:t>Procurement</w:t>
            </w:r>
          </w:p>
        </w:tc>
        <w:tc>
          <w:tcPr>
            <w:tcW w:type="dxa" w:w="6803"/>
          </w:tcPr>
          <w:p>
            <w:pPr>
              <w:spacing w:after="0"/>
            </w:pPr>
            <w:r/>
            <w:r>
              <w:rPr>
                <w:b w:val="0"/>
                <w:i w:val="0"/>
                <w:sz w:val="19"/>
              </w:rPr>
              <w:t>Maintains the vendor register, ensures no purchase completes without a tier and the required checks.</w:t>
            </w:r>
          </w:p>
        </w:tc>
      </w:tr>
      <w:tr>
        <w:trPr>
          <w:cantSplit w:val="true"/>
        </w:trPr>
        <w:tc>
          <w:tcPr>
            <w:tcW w:type="dxa" w:w="2835"/>
          </w:tcPr>
          <w:p>
            <w:pPr>
              <w:spacing w:after="0"/>
            </w:pPr>
            <w:r/>
            <w:r>
              <w:rPr>
                <w:b w:val="0"/>
                <w:i w:val="0"/>
                <w:sz w:val="19"/>
              </w:rPr>
              <w:t>Information Security / third-party risk team</w:t>
            </w:r>
          </w:p>
        </w:tc>
        <w:tc>
          <w:tcPr>
            <w:tcW w:type="dxa" w:w="6803"/>
          </w:tcPr>
          <w:p>
            <w:pPr>
              <w:spacing w:after="0"/>
            </w:pPr>
            <w:r/>
            <w:r>
              <w:rPr>
                <w:b w:val="0"/>
                <w:i w:val="0"/>
                <w:sz w:val="19"/>
              </w:rPr>
              <w:t>Assigns tiers, performs or reviews due diligence, and advises on contract security terms.</w:t>
            </w:r>
          </w:p>
        </w:tc>
      </w:tr>
      <w:tr>
        <w:trPr>
          <w:cantSplit w:val="true"/>
        </w:trPr>
        <w:tc>
          <w:tcPr>
            <w:tcW w:type="dxa" w:w="2835"/>
          </w:tcPr>
          <w:p>
            <w:pPr>
              <w:spacing w:after="0"/>
            </w:pPr>
            <w:r/>
            <w:r>
              <w:rPr>
                <w:b w:val="0"/>
                <w:i w:val="0"/>
                <w:sz w:val="19"/>
              </w:rPr>
              <w:t>Legal and Privacy</w:t>
            </w:r>
          </w:p>
        </w:tc>
        <w:tc>
          <w:tcPr>
            <w:tcW w:type="dxa" w:w="6803"/>
          </w:tcPr>
          <w:p>
            <w:pPr>
              <w:spacing w:after="0"/>
            </w:pPr>
            <w:r/>
            <w:r>
              <w:rPr>
                <w:b w:val="0"/>
                <w:i w:val="0"/>
                <w:sz w:val="19"/>
              </w:rPr>
              <w:t>Review contract terms, data processing arrangements and cross-border data transfers.</w:t>
            </w:r>
          </w:p>
        </w:tc>
      </w:tr>
      <w:tr>
        <w:trPr>
          <w:cantSplit w:val="true"/>
        </w:trPr>
        <w:tc>
          <w:tcPr>
            <w:tcW w:type="dxa" w:w="2835"/>
          </w:tcPr>
          <w:p>
            <w:pPr>
              <w:spacing w:after="0"/>
            </w:pPr>
            <w:r/>
            <w:r>
              <w:rPr>
                <w:b w:val="0"/>
                <w:i w:val="0"/>
                <w:sz w:val="19"/>
              </w:rPr>
              <w:t>IT</w:t>
            </w:r>
          </w:p>
        </w:tc>
        <w:tc>
          <w:tcPr>
            <w:tcW w:type="dxa" w:w="6803"/>
          </w:tcPr>
          <w:p>
            <w:pPr>
              <w:spacing w:after="0"/>
            </w:pPr>
            <w:r/>
            <w:r>
              <w:rPr>
                <w:b w:val="0"/>
                <w:i w:val="0"/>
                <w:sz w:val="19"/>
              </w:rPr>
              <w:t>Provision and remove supplier access, and manage integrations.</w:t>
            </w:r>
          </w:p>
        </w:tc>
      </w:tr>
      <w:tr>
        <w:trPr>
          <w:cantSplit w:val="true"/>
        </w:trPr>
        <w:tc>
          <w:tcPr>
            <w:tcW w:type="dxa" w:w="2835"/>
          </w:tcPr>
          <w:p>
            <w:pPr>
              <w:spacing w:after="0"/>
            </w:pPr>
            <w:r/>
            <w:r>
              <w:rPr>
                <w:b w:val="0"/>
                <w:i w:val="0"/>
                <w:sz w:val="19"/>
              </w:rPr>
              <w:t>Executive management</w:t>
            </w:r>
          </w:p>
        </w:tc>
        <w:tc>
          <w:tcPr>
            <w:tcW w:type="dxa" w:w="6803"/>
          </w:tcPr>
          <w:p>
            <w:pPr>
              <w:spacing w:after="0"/>
            </w:pPr>
            <w:r/>
            <w:r>
              <w:rPr>
                <w:b w:val="0"/>
                <w:i w:val="0"/>
                <w:sz w:val="19"/>
              </w:rPr>
              <w:t>Approves Tier 1 suppliers and accepts residual risks outside appetite.</w:t>
            </w:r>
          </w:p>
        </w:tc>
      </w:tr>
    </w:tbl>
    <w:p>
      <w:pPr>
        <w:spacing w:after="40"/>
      </w:pPr>
    </w:p>
    <w:p>
      <w:pPr>
        <w:keepNext/>
        <w:spacing w:after="80" w:before="280"/>
        <w:pBdr>
          <w:bottom w:val="single" w:sz="6" w:space="2" w:color="0E7C86"/>
        </w:pBdr>
      </w:pPr>
      <w:r>
        <w:rPr>
          <w:b/>
          <w:i w:val="0"/>
          <w:color w:val="0F2A44"/>
          <w:sz w:val="28"/>
        </w:rPr>
        <w:t>4. Policy statements</w:t>
      </w:r>
    </w:p>
    <w:p>
      <w:pPr>
        <w:spacing w:after="40" w:before="0"/>
      </w:pPr>
      <w:r>
        <w:rPr>
          <w:b w:val="0"/>
          <w:i/>
          <w:color w:val="5B6B7C"/>
          <w:sz w:val="19"/>
        </w:rPr>
        <w:t>The word shall indicates a mandatory requirement. Values in brackets are suggested starting points.</w:t>
      </w:r>
    </w:p>
    <w:p>
      <w:pPr>
        <w:keepNext/>
        <w:spacing w:after="40" w:before="160"/>
      </w:pPr>
      <w:r>
        <w:rPr>
          <w:b/>
          <w:i w:val="0"/>
          <w:color w:val="0E7C86"/>
          <w:sz w:val="23"/>
        </w:rPr>
        <w:t>4.1  Inventory and ownership</w:t>
      </w:r>
    </w:p>
    <w:p>
      <w:pPr>
        <w:tabs>
          <w:tab w:pos="794" w:val="left"/>
        </w:tabs>
        <w:spacing w:after="60"/>
        <w:ind w:left="794" w:hanging="794"/>
      </w:pPr>
      <w:r>
        <w:rPr>
          <w:b/>
          <w:color w:val="0F2A44"/>
        </w:rPr>
        <w:t>4.1.1</w:t>
        <w:tab/>
      </w:r>
      <w:r>
        <w:rPr>
          <w:b w:val="0"/>
          <w:i w:val="0"/>
          <w:highlight w:val="yellow"/>
        </w:rPr>
        <w:t>[Company Name]</w:t>
      </w:r>
      <w:r>
        <w:rPr>
          <w:b w:val="0"/>
          <w:i w:val="0"/>
        </w:rPr>
        <w:t xml:space="preserve"> shall keep a single vendor register. No supplier shall be paid or given access unless it is recorded there.</w:t>
      </w:r>
    </w:p>
    <w:p>
      <w:pPr>
        <w:tabs>
          <w:tab w:pos="794" w:val="left"/>
        </w:tabs>
        <w:spacing w:after="60"/>
        <w:ind w:left="794" w:hanging="794"/>
      </w:pPr>
      <w:r>
        <w:rPr>
          <w:b/>
          <w:color w:val="0F2A44"/>
        </w:rPr>
        <w:t>4.1.2</w:t>
        <w:tab/>
      </w:r>
      <w:r>
        <w:rPr>
          <w:b w:val="0"/>
          <w:i w:val="0"/>
        </w:rPr>
        <w:t>Each entry shall include the supplier, the service, the business owner, the data and access involved, the tier, contract dates and the date of the last review.</w:t>
      </w:r>
    </w:p>
    <w:p>
      <w:pPr>
        <w:tabs>
          <w:tab w:pos="794" w:val="left"/>
        </w:tabs>
        <w:spacing w:after="60"/>
        <w:ind w:left="794" w:hanging="794"/>
      </w:pPr>
      <w:r>
        <w:rPr>
          <w:b/>
          <w:color w:val="0F2A44"/>
        </w:rPr>
        <w:t>4.1.3</w:t>
        <w:tab/>
      </w:r>
      <w:r>
        <w:rPr>
          <w:b w:val="0"/>
          <w:i w:val="0"/>
        </w:rPr>
        <w:t xml:space="preserve">The register shall be reconciled with accounts payable and single sign-on application lists at least </w:t>
      </w:r>
      <w:r>
        <w:rPr>
          <w:b w:val="0"/>
          <w:i w:val="0"/>
          <w:highlight w:val="yellow"/>
        </w:rPr>
        <w:t>[twice a year]</w:t>
      </w:r>
      <w:r>
        <w:rPr>
          <w:b w:val="0"/>
          <w:i w:val="0"/>
        </w:rPr>
        <w:t xml:space="preserve"> to find unrecorded suppliers.</w:t>
      </w:r>
    </w:p>
    <w:p>
      <w:pPr>
        <w:keepNext/>
        <w:spacing w:after="40" w:before="160"/>
      </w:pPr>
      <w:r>
        <w:rPr>
          <w:b/>
          <w:i w:val="0"/>
          <w:color w:val="0E7C86"/>
          <w:sz w:val="23"/>
        </w:rPr>
        <w:t>4.2  Tiering</w:t>
      </w:r>
    </w:p>
    <w:p>
      <w:pPr>
        <w:tabs>
          <w:tab w:pos="794" w:val="left"/>
        </w:tabs>
        <w:spacing w:after="60"/>
        <w:ind w:left="794" w:hanging="794"/>
      </w:pPr>
      <w:r>
        <w:rPr>
          <w:b/>
          <w:color w:val="0F2A44"/>
        </w:rPr>
        <w:t>4.2.1</w:t>
        <w:tab/>
      </w:r>
      <w:r>
        <w:rPr>
          <w:b w:val="0"/>
          <w:i w:val="0"/>
        </w:rPr>
        <w:t>Each supplier shall be tiered before contract signature using four factors: sensitivity of the data handled, level of access to systems, how much the business depends on the service, and how hard the supplier is to replace.</w:t>
      </w:r>
    </w:p>
    <w:p>
      <w:pPr>
        <w:tabs>
          <w:tab w:pos="794" w:val="left"/>
        </w:tabs>
        <w:spacing w:after="60"/>
        <w:ind w:left="794" w:hanging="794"/>
      </w:pPr>
      <w:r>
        <w:rPr>
          <w:b/>
          <w:color w:val="0F2A44"/>
        </w:rPr>
        <w:t>4.2.2</w:t>
        <w:tab/>
      </w:r>
      <w:r>
        <w:rPr>
          <w:b w:val="0"/>
          <w:i w:val="0"/>
        </w:rPr>
        <w:t>Tier 1 (critical) suppliers carry the highest of any factor. Tier 2 (important) and Tier 3 (standard) apply to the rest, with criteria recorded in the tiering standard.</w:t>
      </w:r>
    </w:p>
    <w:p>
      <w:pPr>
        <w:tabs>
          <w:tab w:pos="794" w:val="left"/>
        </w:tabs>
        <w:spacing w:after="60"/>
        <w:ind w:left="794" w:hanging="794"/>
      </w:pPr>
      <w:r>
        <w:rPr>
          <w:b/>
          <w:color w:val="0F2A44"/>
        </w:rPr>
        <w:t>4.2.3</w:t>
        <w:tab/>
      </w:r>
      <w:r>
        <w:rPr>
          <w:b w:val="0"/>
          <w:i w:val="0"/>
        </w:rPr>
        <w:t>Tiers shall be revisited at renewal and whenever the scope of the service changes.</w:t>
      </w:r>
    </w:p>
    <w:p>
      <w:pPr>
        <w:keepNext/>
        <w:spacing w:after="40" w:before="160"/>
      </w:pPr>
      <w:r>
        <w:rPr>
          <w:b/>
          <w:i w:val="0"/>
          <w:color w:val="0E7C86"/>
          <w:sz w:val="23"/>
        </w:rPr>
        <w:t>4.3  Due diligence before contract</w:t>
      </w:r>
    </w:p>
    <w:p>
      <w:pPr>
        <w:tabs>
          <w:tab w:pos="794" w:val="left"/>
        </w:tabs>
        <w:spacing w:after="60"/>
        <w:ind w:left="794" w:hanging="794"/>
      </w:pPr>
      <w:r>
        <w:rPr>
          <w:b/>
          <w:color w:val="0F2A44"/>
        </w:rPr>
        <w:t>4.3.1</w:t>
        <w:tab/>
      </w:r>
      <w:r>
        <w:rPr>
          <w:b w:val="0"/>
          <w:i w:val="0"/>
        </w:rPr>
        <w:t>Due diligence shall be completed and approved before signature and shall be proportionate to the tier.</w:t>
      </w:r>
    </w:p>
    <w:p>
      <w:pPr>
        <w:tabs>
          <w:tab w:pos="794" w:val="left"/>
        </w:tabs>
        <w:spacing w:after="60"/>
        <w:ind w:left="794" w:hanging="794"/>
      </w:pPr>
      <w:r>
        <w:rPr>
          <w:b/>
          <w:color w:val="0F2A44"/>
        </w:rPr>
        <w:t>4.3.2</w:t>
        <w:tab/>
      </w:r>
      <w:r>
        <w:rPr>
          <w:b w:val="0"/>
          <w:i w:val="0"/>
        </w:rPr>
        <w:t>For Tier 1 and Tier 2 suppliers, due diligence shall include a security questionnaire answered with supporting evidence, review of independent assurance reports, a privacy review where personal data is involved, and a resilience and financial health check.</w:t>
      </w:r>
    </w:p>
    <w:p>
      <w:pPr>
        <w:tabs>
          <w:tab w:pos="794" w:val="left"/>
        </w:tabs>
        <w:spacing w:after="60"/>
        <w:ind w:left="794" w:hanging="794"/>
      </w:pPr>
      <w:r>
        <w:rPr>
          <w:b/>
          <w:color w:val="0F2A44"/>
        </w:rPr>
        <w:t>4.3.3</w:t>
        <w:tab/>
      </w:r>
      <w:r>
        <w:rPr>
          <w:b w:val="0"/>
          <w:i w:val="0"/>
        </w:rPr>
        <w:t xml:space="preserve">When reviewing an assurance report such as a SOC 2 Type II report or an ISO 27001 certificate, the reviewer shall confirm that the scope covers the actual service, the period is recent, the opinion is unqualified, any exceptions are understood, and the customer responsibilities listed in the report are actually in place at </w:t>
      </w:r>
      <w:r>
        <w:rPr>
          <w:b w:val="0"/>
          <w:i w:val="0"/>
          <w:highlight w:val="yellow"/>
        </w:rPr>
        <w:t>[Company Name]</w:t>
      </w:r>
      <w:r>
        <w:rPr>
          <w:b w:val="0"/>
          <w:i w:val="0"/>
        </w:rPr>
        <w:t>.</w:t>
      </w:r>
    </w:p>
    <w:p>
      <w:pPr>
        <w:tabs>
          <w:tab w:pos="794" w:val="left"/>
        </w:tabs>
        <w:spacing w:after="60"/>
        <w:ind w:left="794" w:hanging="794"/>
      </w:pPr>
      <w:r>
        <w:rPr>
          <w:b/>
          <w:color w:val="0F2A44"/>
        </w:rPr>
        <w:t>4.3.4</w:t>
        <w:tab/>
      </w:r>
      <w:r>
        <w:rPr>
          <w:b w:val="0"/>
          <w:i w:val="0"/>
        </w:rPr>
        <w:t>Findings shall be recorded, remediation agreed where practical, and any remaining risk accepted under the Risk Management Policy.</w:t>
      </w:r>
    </w:p>
    <w:p>
      <w:pPr>
        <w:keepNext/>
        <w:spacing w:after="40" w:before="160"/>
      </w:pPr>
      <w:r>
        <w:rPr>
          <w:b/>
          <w:i w:val="0"/>
          <w:color w:val="0E7C86"/>
          <w:sz w:val="23"/>
        </w:rPr>
        <w:t>4.4  Contract requirements</w:t>
      </w:r>
    </w:p>
    <w:p>
      <w:pPr>
        <w:tabs>
          <w:tab w:pos="794" w:val="left"/>
        </w:tabs>
        <w:spacing w:after="60"/>
        <w:ind w:left="794" w:hanging="794"/>
      </w:pPr>
      <w:r>
        <w:rPr>
          <w:b/>
          <w:color w:val="0F2A44"/>
        </w:rPr>
        <w:t>4.4.1</w:t>
        <w:tab/>
      </w:r>
      <w:r>
        <w:rPr>
          <w:b w:val="0"/>
          <w:i w:val="0"/>
        </w:rPr>
        <w:t xml:space="preserve">Contracts shall be approved by Legal and, for Tier 1 and 2 suppliers, include: security and confidentiality obligations; notice of security incidents within </w:t>
      </w:r>
      <w:r>
        <w:rPr>
          <w:b w:val="0"/>
          <w:i w:val="0"/>
          <w:highlight w:val="yellow"/>
        </w:rPr>
        <w:t>[24 hours]</w:t>
      </w:r>
      <w:r>
        <w:rPr>
          <w:b w:val="0"/>
          <w:i w:val="0"/>
        </w:rPr>
        <w:t>; the right to receive assurance reports or audit; flow-down of obligations to subcontractors with notice of changes; data location disclosure; return and deletion of data on exit; business continuity commitments; and cooperation on exit.</w:t>
      </w:r>
    </w:p>
    <w:p>
      <w:pPr>
        <w:tabs>
          <w:tab w:pos="794" w:val="left"/>
        </w:tabs>
        <w:spacing w:after="60"/>
        <w:ind w:left="794" w:hanging="794"/>
      </w:pPr>
      <w:r>
        <w:rPr>
          <w:b/>
          <w:color w:val="0F2A44"/>
        </w:rPr>
        <w:t>4.4.2</w:t>
        <w:tab/>
      </w:r>
      <w:r>
        <w:rPr>
          <w:b w:val="0"/>
          <w:i w:val="0"/>
        </w:rPr>
        <w:t>Where the supplier's standard terms cannot be changed, the gaps shall be assessed and any residual risk formally accepted.</w:t>
      </w:r>
    </w:p>
    <w:p>
      <w:pPr>
        <w:keepNext/>
        <w:spacing w:after="40" w:before="160"/>
      </w:pPr>
      <w:r>
        <w:rPr>
          <w:b/>
          <w:i w:val="0"/>
          <w:color w:val="0E7C86"/>
          <w:sz w:val="23"/>
        </w:rPr>
        <w:t>4.5  Onboarding and access</w:t>
      </w:r>
    </w:p>
    <w:p>
      <w:pPr>
        <w:tabs>
          <w:tab w:pos="794" w:val="left"/>
        </w:tabs>
        <w:spacing w:after="60"/>
        <w:ind w:left="794" w:hanging="794"/>
      </w:pPr>
      <w:r>
        <w:rPr>
          <w:b/>
          <w:color w:val="0F2A44"/>
        </w:rPr>
        <w:t>4.5.1</w:t>
        <w:tab/>
      </w:r>
      <w:r>
        <w:rPr>
          <w:b w:val="0"/>
          <w:i w:val="0"/>
        </w:rPr>
        <w:t>Supplier access shall follow the Access Control Policy: named individuals, least privilege, multi-factor authentication and an expiry date.</w:t>
      </w:r>
    </w:p>
    <w:p>
      <w:pPr>
        <w:tabs>
          <w:tab w:pos="794" w:val="left"/>
        </w:tabs>
        <w:spacing w:after="60"/>
        <w:ind w:left="794" w:hanging="794"/>
      </w:pPr>
      <w:r>
        <w:rPr>
          <w:b/>
          <w:color w:val="0F2A44"/>
        </w:rPr>
        <w:t>4.5.2</w:t>
        <w:tab/>
      </w:r>
      <w:r>
        <w:rPr>
          <w:b w:val="0"/>
          <w:i w:val="0"/>
        </w:rPr>
        <w:t>Integrations and data transfers shall be documented and shall use encryption in transit.</w:t>
      </w:r>
    </w:p>
    <w:p>
      <w:pPr>
        <w:keepNext/>
        <w:spacing w:after="40" w:before="160"/>
      </w:pPr>
      <w:r>
        <w:rPr>
          <w:b/>
          <w:i w:val="0"/>
          <w:color w:val="0E7C86"/>
          <w:sz w:val="23"/>
        </w:rPr>
        <w:t>4.6  Ongoing monitoring</w:t>
      </w:r>
    </w:p>
    <w:p>
      <w:pPr>
        <w:tabs>
          <w:tab w:pos="794" w:val="left"/>
        </w:tabs>
        <w:spacing w:after="60"/>
        <w:ind w:left="794" w:hanging="794"/>
      </w:pPr>
      <w:r>
        <w:rPr>
          <w:b/>
          <w:color w:val="0F2A44"/>
        </w:rPr>
        <w:t>4.6.1</w:t>
        <w:tab/>
      </w:r>
      <w:r>
        <w:rPr>
          <w:b w:val="0"/>
          <w:i w:val="0"/>
        </w:rPr>
        <w:t xml:space="preserve">Review frequency shall be: Tier 1 at least annually, Tier 2 at least every </w:t>
      </w:r>
      <w:r>
        <w:rPr>
          <w:b w:val="0"/>
          <w:i w:val="0"/>
          <w:highlight w:val="yellow"/>
        </w:rPr>
        <w:t>[2 years]</w:t>
      </w:r>
      <w:r>
        <w:rPr>
          <w:b w:val="0"/>
          <w:i w:val="0"/>
        </w:rPr>
        <w:t>, Tier 3 at contract renewal.</w:t>
      </w:r>
    </w:p>
    <w:p>
      <w:pPr>
        <w:tabs>
          <w:tab w:pos="794" w:val="left"/>
        </w:tabs>
        <w:spacing w:after="60"/>
        <w:ind w:left="794" w:hanging="794"/>
      </w:pPr>
      <w:r>
        <w:rPr>
          <w:b/>
          <w:color w:val="0F2A44"/>
        </w:rPr>
        <w:t>4.6.2</w:t>
        <w:tab/>
      </w:r>
      <w:r>
        <w:rPr>
          <w:b w:val="0"/>
          <w:i w:val="0"/>
        </w:rPr>
        <w:t>Each review shall refresh the assurance report, check performance and incident history, confirm the data and access involved are unchanged and verify the status of open findings.</w:t>
      </w:r>
    </w:p>
    <w:p>
      <w:pPr>
        <w:tabs>
          <w:tab w:pos="794" w:val="left"/>
        </w:tabs>
        <w:spacing w:after="60"/>
        <w:ind w:left="794" w:hanging="794"/>
      </w:pPr>
      <w:r>
        <w:rPr>
          <w:b/>
          <w:color w:val="0F2A44"/>
        </w:rPr>
        <w:t>4.6.3</w:t>
        <w:tab/>
      </w:r>
      <w:r>
        <w:rPr>
          <w:b w:val="0"/>
          <w:i w:val="0"/>
        </w:rPr>
        <w:t>Business owners shall report to Procurement any significant change at a supplier, such as an acquisition, outage, breach or loss of certification.</w:t>
      </w:r>
    </w:p>
    <w:p>
      <w:pPr>
        <w:keepNext/>
        <w:spacing w:after="40" w:before="160"/>
      </w:pPr>
      <w:r>
        <w:rPr>
          <w:b/>
          <w:i w:val="0"/>
          <w:color w:val="0E7C86"/>
          <w:sz w:val="23"/>
        </w:rPr>
        <w:t>4.7  Supplier incidents and change</w:t>
      </w:r>
    </w:p>
    <w:p>
      <w:pPr>
        <w:tabs>
          <w:tab w:pos="794" w:val="left"/>
        </w:tabs>
        <w:spacing w:after="60"/>
        <w:ind w:left="794" w:hanging="794"/>
      </w:pPr>
      <w:r>
        <w:rPr>
          <w:b/>
          <w:color w:val="0F2A44"/>
        </w:rPr>
        <w:t>4.7.1</w:t>
        <w:tab/>
      </w:r>
      <w:r>
        <w:rPr>
          <w:b w:val="0"/>
          <w:i w:val="0"/>
        </w:rPr>
        <w:t xml:space="preserve">Suppliers shall notify </w:t>
      </w:r>
      <w:r>
        <w:rPr>
          <w:b w:val="0"/>
          <w:i w:val="0"/>
          <w:highlight w:val="yellow"/>
        </w:rPr>
        <w:t>[Company Name]</w:t>
      </w:r>
      <w:r>
        <w:rPr>
          <w:b w:val="0"/>
          <w:i w:val="0"/>
        </w:rPr>
        <w:t xml:space="preserve"> of incidents affecting its information or services, and such notices shall be handled under the Incident Response Policy.</w:t>
      </w:r>
    </w:p>
    <w:p>
      <w:pPr>
        <w:tabs>
          <w:tab w:pos="794" w:val="left"/>
        </w:tabs>
        <w:spacing w:after="60"/>
        <w:ind w:left="794" w:hanging="794"/>
      </w:pPr>
      <w:r>
        <w:rPr>
          <w:b/>
          <w:color w:val="0F2A44"/>
        </w:rPr>
        <w:t>4.7.2</w:t>
        <w:tab/>
      </w:r>
      <w:r>
        <w:rPr>
          <w:b w:val="0"/>
          <w:i w:val="0"/>
        </w:rPr>
        <w:t>A material change to a supplier's service, hosting location or subcontractors shall trigger a reassessment.</w:t>
      </w:r>
    </w:p>
    <w:p>
      <w:pPr>
        <w:keepNext/>
        <w:spacing w:after="40" w:before="160"/>
      </w:pPr>
      <w:r>
        <w:rPr>
          <w:b/>
          <w:i w:val="0"/>
          <w:color w:val="0E7C86"/>
          <w:sz w:val="23"/>
        </w:rPr>
        <w:t>4.8  Offboarding and exit</w:t>
      </w:r>
    </w:p>
    <w:p>
      <w:pPr>
        <w:tabs>
          <w:tab w:pos="794" w:val="left"/>
        </w:tabs>
        <w:spacing w:after="60"/>
        <w:ind w:left="794" w:hanging="794"/>
      </w:pPr>
      <w:r>
        <w:rPr>
          <w:b/>
          <w:color w:val="0F2A44"/>
        </w:rPr>
        <w:t>4.8.1</w:t>
        <w:tab/>
      </w:r>
      <w:r>
        <w:rPr>
          <w:b w:val="0"/>
          <w:i w:val="0"/>
        </w:rPr>
        <w:t>On termination, access shall be removed, assets returned and data returned or destroyed, with written confirmation of deletion from the supplier.</w:t>
      </w:r>
    </w:p>
    <w:p>
      <w:pPr>
        <w:tabs>
          <w:tab w:pos="794" w:val="left"/>
        </w:tabs>
        <w:spacing w:after="60"/>
        <w:ind w:left="794" w:hanging="794"/>
      </w:pPr>
      <w:r>
        <w:rPr>
          <w:b/>
          <w:color w:val="0F2A44"/>
        </w:rPr>
        <w:t>4.8.2</w:t>
        <w:tab/>
      </w:r>
      <w:r>
        <w:rPr>
          <w:b w:val="0"/>
          <w:i w:val="0"/>
        </w:rPr>
        <w:t xml:space="preserve">For Tier 1 suppliers an exit plan shall be documented at onboarding and tested or reviewed at least </w:t>
      </w:r>
      <w:r>
        <w:rPr>
          <w:b w:val="0"/>
          <w:i w:val="0"/>
          <w:highlight w:val="yellow"/>
        </w:rPr>
        <w:t>[every 2 years]</w:t>
      </w:r>
      <w:r>
        <w:rPr>
          <w:b w:val="0"/>
          <w:i w:val="0"/>
        </w:rPr>
        <w:t>.</w:t>
      </w:r>
    </w:p>
    <w:p>
      <w:pPr>
        <w:keepNext/>
        <w:spacing w:after="40" w:before="160"/>
      </w:pPr>
      <w:r>
        <w:rPr>
          <w:b/>
          <w:i w:val="0"/>
          <w:color w:val="0E7C86"/>
          <w:sz w:val="23"/>
        </w:rPr>
        <w:t>4.9  Concentration and fourth parties</w:t>
      </w:r>
    </w:p>
    <w:p>
      <w:pPr>
        <w:tabs>
          <w:tab w:pos="794" w:val="left"/>
        </w:tabs>
        <w:spacing w:after="60"/>
        <w:ind w:left="794" w:hanging="794"/>
      </w:pPr>
      <w:r>
        <w:rPr>
          <w:b/>
          <w:color w:val="0F2A44"/>
        </w:rPr>
        <w:t>4.9.1</w:t>
        <w:tab/>
      </w:r>
      <w:r>
        <w:rPr>
          <w:b w:val="0"/>
          <w:i w:val="0"/>
        </w:rPr>
        <w:t>Dependence on a single supplier for several critical services, and on common subcontractors across suppliers, shall be assessed and reported to executive management annually.</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 xml:space="preserve">Urgent engagements may proceed with limited access and interim approval from the Information Security Lead, provided full due diligence is completed within </w:t>
      </w:r>
      <w:r>
        <w:rPr>
          <w:b w:val="0"/>
          <w:i w:val="0"/>
          <w:highlight w:val="yellow"/>
        </w:rPr>
        <w:t>[30 days]</w:t>
      </w:r>
      <w:r>
        <w:rPr>
          <w:b w:val="0"/>
          <w:i w:val="0"/>
        </w:rPr>
        <w:t xml:space="preserve"> or access is withdrawn.</w:t>
      </w:r>
    </w:p>
    <w:p>
      <w:pPr>
        <w:tabs>
          <w:tab w:pos="794" w:val="left"/>
        </w:tabs>
        <w:spacing w:after="60"/>
        <w:ind w:left="794" w:hanging="794"/>
      </w:pPr>
      <w:r>
        <w:rPr>
          <w:b/>
          <w:color w:val="0F2A44"/>
        </w:rPr>
        <w:t>5.2</w:t>
        <w:tab/>
      </w:r>
      <w:r>
        <w:rPr>
          <w:b w:val="0"/>
          <w:i w:val="0"/>
        </w:rPr>
        <w:t>All exceptions shall be recorded in the exception register with an owner and an end date.</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Business units that engage suppliers outside this process shall be reported to executive management, and unrecorded suppliers shall be assessed immediately or have access suspended.</w:t>
      </w:r>
    </w:p>
    <w:p>
      <w:pPr>
        <w:tabs>
          <w:tab w:pos="794" w:val="left"/>
        </w:tabs>
        <w:spacing w:after="60"/>
        <w:ind w:left="794" w:hanging="794"/>
      </w:pPr>
      <w:r>
        <w:rPr>
          <w:b/>
          <w:color w:val="0F2A44"/>
        </w:rPr>
        <w:t>6.2</w:t>
        <w:tab/>
      </w:r>
      <w:r>
        <w:rPr>
          <w:b w:val="0"/>
          <w:i w:val="0"/>
        </w:rPr>
        <w:t>Failure to follow this policy may lead to disciplinary action.</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policy shall be reviewed at least </w:t>
      </w:r>
      <w:r>
        <w:rPr>
          <w:b w:val="0"/>
          <w:i w:val="0"/>
          <w:highlight w:val="yellow"/>
        </w:rPr>
        <w:t>[annually]</w:t>
      </w:r>
      <w:r>
        <w:rPr>
          <w:b w:val="0"/>
          <w:i w:val="0"/>
        </w:rPr>
        <w:t>, and after any significant supplier incident or change in regulatory expectations.</w:t>
      </w:r>
    </w:p>
    <w:p>
      <w:pPr>
        <w:tabs>
          <w:tab w:pos="794" w:val="left"/>
        </w:tabs>
        <w:spacing w:after="60"/>
        <w:ind w:left="794" w:hanging="794"/>
      </w:pPr>
      <w:r>
        <w:rPr>
          <w:b/>
          <w:color w:val="0F2A44"/>
        </w:rPr>
        <w:t>7.2</w:t>
        <w:tab/>
      </w:r>
      <w:r>
        <w:rPr>
          <w:b w:val="0"/>
          <w:i w:val="0"/>
        </w:rPr>
        <w:t xml:space="preserve">The vendor register shall be reviewed for accuracy at least </w:t>
      </w:r>
      <w:r>
        <w:rPr>
          <w:b w:val="0"/>
          <w:i w:val="0"/>
          <w:highlight w:val="yellow"/>
        </w:rPr>
        <w:t>[twice a year]</w:t>
      </w:r>
      <w:r>
        <w:rPr>
          <w:b w:val="0"/>
          <w:i w:val="0"/>
        </w:rPr>
        <w:t>.</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Information Security Policy</w:t>
      </w:r>
    </w:p>
    <w:p>
      <w:pPr>
        <w:tabs>
          <w:tab w:pos="567" w:val="left"/>
        </w:tabs>
        <w:spacing w:after="40"/>
        <w:ind w:left="567" w:hanging="283"/>
      </w:pPr>
      <w:r>
        <w:t>•</w:t>
        <w:tab/>
      </w:r>
      <w:r>
        <w:rPr>
          <w:b w:val="0"/>
          <w:i w:val="0"/>
        </w:rPr>
        <w:t>Risk Management Policy</w:t>
      </w:r>
    </w:p>
    <w:p>
      <w:pPr>
        <w:tabs>
          <w:tab w:pos="567" w:val="left"/>
        </w:tabs>
        <w:spacing w:after="40"/>
        <w:ind w:left="567" w:hanging="283"/>
      </w:pPr>
      <w:r>
        <w:t>•</w:t>
        <w:tab/>
      </w:r>
      <w:r>
        <w:rPr>
          <w:b w:val="0"/>
          <w:i w:val="0"/>
        </w:rPr>
        <w:t>Access Control Policy</w:t>
      </w:r>
    </w:p>
    <w:p>
      <w:pPr>
        <w:tabs>
          <w:tab w:pos="567" w:val="left"/>
        </w:tabs>
        <w:spacing w:after="40"/>
        <w:ind w:left="567" w:hanging="283"/>
      </w:pPr>
      <w:r>
        <w:t>•</w:t>
        <w:tab/>
      </w:r>
      <w:r>
        <w:rPr>
          <w:b w:val="0"/>
          <w:i w:val="0"/>
        </w:rPr>
        <w:t>Incident Response Policy</w:t>
      </w:r>
    </w:p>
    <w:p>
      <w:pPr>
        <w:tabs>
          <w:tab w:pos="567" w:val="left"/>
        </w:tabs>
        <w:spacing w:after="40"/>
        <w:ind w:left="567" w:hanging="283"/>
      </w:pPr>
      <w:r>
        <w:t>•</w:t>
        <w:tab/>
      </w:r>
      <w:r>
        <w:rPr>
          <w:b w:val="0"/>
          <w:i w:val="0"/>
        </w:rPr>
        <w:t>Vendor tiering standard</w:t>
      </w:r>
    </w:p>
    <w:p>
      <w:pPr>
        <w:tabs>
          <w:tab w:pos="567" w:val="left"/>
        </w:tabs>
        <w:spacing w:after="40"/>
        <w:ind w:left="567" w:hanging="283"/>
      </w:pPr>
      <w:r>
        <w:t>•</w:t>
        <w:tab/>
      </w:r>
      <w:r>
        <w:rPr>
          <w:b w:val="0"/>
          <w:i w:val="0"/>
        </w:rPr>
        <w:t>Security questionnaire</w:t>
      </w:r>
    </w:p>
    <w:p>
      <w:pPr>
        <w:tabs>
          <w:tab w:pos="567" w:val="left"/>
        </w:tabs>
        <w:spacing w:after="40"/>
        <w:ind w:left="567" w:hanging="283"/>
      </w:pPr>
      <w:r>
        <w:t>•</w:t>
        <w:tab/>
      </w:r>
      <w:r>
        <w:rPr>
          <w:b w:val="0"/>
          <w:i w:val="0"/>
        </w:rPr>
        <w:t>Data processing agreement template</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Annex A 5.19, 5.20, 5.21, 5.22, 5.23</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CC9.2, CC3.2</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GV.SC-01, GV.SC-05, GV.SC-06, GV.SC-07</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Vendor register export with tiers, owners and last review dates</w:t>
            </w:r>
          </w:p>
        </w:tc>
        <w:tc>
          <w:tcPr>
            <w:tcW w:type="dxa" w:w="3402"/>
          </w:tcPr>
          <w:p>
            <w:pPr>
              <w:spacing w:after="0"/>
            </w:pPr>
            <w:r/>
            <w:r>
              <w:rPr>
                <w:b w:val="0"/>
                <w:i w:val="0"/>
                <w:sz w:val="19"/>
              </w:rPr>
              <w:t>Suppliers are known, tiered and owned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Reconciliation of the register to accounts payable and single sign-on lists</w:t>
            </w:r>
          </w:p>
        </w:tc>
        <w:tc>
          <w:tcPr>
            <w:tcW w:type="dxa" w:w="3402"/>
          </w:tcPr>
          <w:p>
            <w:pPr>
              <w:spacing w:after="0"/>
            </w:pPr>
            <w:r/>
            <w:r>
              <w:rPr>
                <w:b w:val="0"/>
                <w:i w:val="0"/>
                <w:sz w:val="19"/>
              </w:rPr>
              <w:t>Completeness of the inventory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Completed due diligence packs for a sample of new suppliers</w:t>
            </w:r>
          </w:p>
        </w:tc>
        <w:tc>
          <w:tcPr>
            <w:tcW w:type="dxa" w:w="3402"/>
          </w:tcPr>
          <w:p>
            <w:pPr>
              <w:spacing w:after="0"/>
            </w:pPr>
            <w:r/>
            <w:r>
              <w:rPr>
                <w:b w:val="0"/>
                <w:i w:val="0"/>
                <w:sz w:val="19"/>
              </w:rPr>
              <w:t>Checks happen before contract signature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Reviewer notes on SOC 2 or ISO 27001 reports covering scope, period, exceptions and customer responsibilities</w:t>
            </w:r>
          </w:p>
        </w:tc>
        <w:tc>
          <w:tcPr>
            <w:tcW w:type="dxa" w:w="3402"/>
          </w:tcPr>
          <w:p>
            <w:pPr>
              <w:spacing w:after="0"/>
            </w:pPr>
            <w:r/>
            <w:r>
              <w:rPr>
                <w:b w:val="0"/>
                <w:i w:val="0"/>
                <w:sz w:val="19"/>
              </w:rPr>
              <w:t>Reports are read, not just collected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Signed contracts with security terms and incident notification clauses</w:t>
            </w:r>
          </w:p>
        </w:tc>
        <w:tc>
          <w:tcPr>
            <w:tcW w:type="dxa" w:w="3402"/>
          </w:tcPr>
          <w:p>
            <w:pPr>
              <w:spacing w:after="0"/>
            </w:pPr>
            <w:r/>
            <w:r>
              <w:rPr>
                <w:b w:val="0"/>
                <w:i w:val="0"/>
                <w:sz w:val="19"/>
              </w:rPr>
              <w:t>Obligations are binding</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Records of periodic supplier reviews and follow-up of findings</w:t>
            </w:r>
          </w:p>
        </w:tc>
        <w:tc>
          <w:tcPr>
            <w:tcW w:type="dxa" w:w="3402"/>
          </w:tcPr>
          <w:p>
            <w:pPr>
              <w:spacing w:after="0"/>
            </w:pPr>
            <w:r/>
            <w:r>
              <w:rPr>
                <w:b w:val="0"/>
                <w:i w:val="0"/>
                <w:sz w:val="19"/>
              </w:rPr>
              <w:t>Monitoring is happening on schedule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List of supplier accounts with sponsors and expiry dates</w:t>
            </w:r>
          </w:p>
        </w:tc>
        <w:tc>
          <w:tcPr>
            <w:tcW w:type="dxa" w:w="3402"/>
          </w:tcPr>
          <w:p>
            <w:pPr>
              <w:spacing w:after="0"/>
            </w:pPr>
            <w:r/>
            <w:r>
              <w:rPr>
                <w:b w:val="0"/>
                <w:i w:val="0"/>
                <w:sz w:val="19"/>
              </w:rPr>
              <w:t>Third-party access is controlled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Offboarding records including deletion confirmations</w:t>
            </w:r>
          </w:p>
        </w:tc>
        <w:tc>
          <w:tcPr>
            <w:tcW w:type="dxa" w:w="3402"/>
          </w:tcPr>
          <w:p>
            <w:pPr>
              <w:spacing w:after="0"/>
            </w:pPr>
            <w:r/>
            <w:r>
              <w:rPr>
                <w:b w:val="0"/>
                <w:i w:val="0"/>
                <w:sz w:val="19"/>
              </w:rPr>
              <w:t>Exit is handled safely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Exit plans for Tier 1 suppliers</w:t>
            </w:r>
          </w:p>
        </w:tc>
        <w:tc>
          <w:tcPr>
            <w:tcW w:type="dxa" w:w="3402"/>
          </w:tcPr>
          <w:p>
            <w:pPr>
              <w:spacing w:after="0"/>
            </w:pPr>
            <w:r/>
            <w:r>
              <w:rPr>
                <w:b w:val="0"/>
                <w:i w:val="0"/>
                <w:sz w:val="19"/>
              </w:rPr>
              <w:t>Dependency risk is managed</w:t>
            </w:r>
          </w:p>
        </w:tc>
        <w:tc>
          <w:tcPr>
            <w:tcW w:type="dxa" w:w="1928"/>
          </w:tcPr>
          <w:p>
            <w:pPr>
              <w:spacing w:after="0"/>
            </w:pPr>
            <w:r/>
            <w:r>
              <w:rPr>
                <w:b w:val="0"/>
                <w:i w:val="0"/>
                <w:sz w:val="19"/>
                <w:highlight w:val="yellow"/>
              </w:rPr>
              <w:t>[location / owner]</w:t>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Vendor (Third-Party) Management Policy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(Third-Party) Management Policy</dc:title>
  <dc:subject>Policy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