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120"/>
      </w:pPr>
      <w:r>
        <w:rPr>
          <w:b/>
          <w:i w:val="0"/>
          <w:color w:val="0E7C86"/>
          <w:sz w:val="22"/>
          <w:highlight w:val="yellow"/>
        </w:rPr>
        <w:t>[Company Name]</w:t>
      </w:r>
    </w:p>
    <w:p>
      <w:pPr>
        <w:spacing w:after="40" w:before="0"/>
      </w:pPr>
      <w:r>
        <w:rPr>
          <w:b/>
          <w:i w:val="0"/>
          <w:color w:val="0F2A44"/>
          <w:sz w:val="52"/>
        </w:rPr>
        <w:t>Risk Management Policy</w:t>
      </w:r>
    </w:p>
    <w:p>
      <w:pPr>
        <w:spacing w:after="200" w:before="0"/>
      </w:pPr>
      <w:r>
        <w:rPr>
          <w:b w:val="0"/>
          <w:i w:val="0"/>
          <w:color w:val="5B6B7C"/>
          <w:sz w:val="21"/>
        </w:rPr>
        <w:t>Policy  |  Document ID POL-RMP  |  Draft template</w:t>
      </w:r>
    </w:p>
    <w:p>
      <w:pPr>
        <w:keepNext/>
        <w:spacing w:after="40" w:before="160"/>
      </w:pPr>
      <w:r>
        <w:rPr>
          <w:b/>
          <w:i w:val="0"/>
          <w:color w:val="0E7C86"/>
          <w:sz w:val="23"/>
        </w:rPr>
        <w:t>Document control</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551"/>
        <w:gridCol w:w="7087"/>
      </w:tblGrid>
      <w:tr>
        <w:trPr>
          <w:cantSplit w:val="true"/>
        </w:trPr>
        <w:tc>
          <w:tcPr>
            <w:tcW w:type="dxa" w:w="2551"/>
            <w:shd w:val="clear" w:color="auto" w:fill="E6F1F5"/>
          </w:tcPr>
          <w:p>
            <w:pPr>
              <w:spacing w:after="0"/>
            </w:pPr>
            <w:r/>
            <w:r>
              <w:rPr>
                <w:b/>
                <w:i w:val="0"/>
                <w:color w:val="0F2A44"/>
                <w:sz w:val="19"/>
              </w:rPr>
              <w:t>Document title</w:t>
            </w:r>
          </w:p>
        </w:tc>
        <w:tc>
          <w:tcPr>
            <w:tcW w:type="dxa" w:w="7087"/>
          </w:tcPr>
          <w:p>
            <w:pPr>
              <w:spacing w:after="0"/>
            </w:pPr>
            <w:r/>
            <w:r>
              <w:rPr>
                <w:b w:val="0"/>
                <w:i w:val="0"/>
                <w:sz w:val="19"/>
              </w:rPr>
              <w:t>Risk Management Policy</w:t>
            </w:r>
          </w:p>
        </w:tc>
      </w:tr>
      <w:tr>
        <w:trPr>
          <w:cantSplit w:val="true"/>
        </w:trPr>
        <w:tc>
          <w:tcPr>
            <w:tcW w:type="dxa" w:w="2551"/>
            <w:shd w:val="clear" w:color="auto" w:fill="E6F1F5"/>
          </w:tcPr>
          <w:p>
            <w:pPr>
              <w:spacing w:after="0"/>
            </w:pPr>
            <w:r/>
            <w:r>
              <w:rPr>
                <w:b/>
                <w:i w:val="0"/>
                <w:color w:val="0F2A44"/>
                <w:sz w:val="19"/>
              </w:rPr>
              <w:t>Document ID</w:t>
            </w:r>
          </w:p>
        </w:tc>
        <w:tc>
          <w:tcPr>
            <w:tcW w:type="dxa" w:w="7087"/>
          </w:tcPr>
          <w:p>
            <w:pPr>
              <w:spacing w:after="0"/>
            </w:pPr>
            <w:r/>
            <w:r>
              <w:rPr>
                <w:b w:val="0"/>
                <w:i w:val="0"/>
                <w:sz w:val="19"/>
              </w:rPr>
              <w:t xml:space="preserve">POL-RMP  </w:t>
            </w:r>
            <w:r>
              <w:rPr>
                <w:b w:val="0"/>
                <w:i w:val="0"/>
                <w:sz w:val="19"/>
                <w:highlight w:val="yellow"/>
              </w:rPr>
              <w:t>[adjust to your numbering scheme]</w:t>
            </w:r>
          </w:p>
        </w:tc>
      </w:tr>
      <w:tr>
        <w:trPr>
          <w:cantSplit w:val="true"/>
        </w:trPr>
        <w:tc>
          <w:tcPr>
            <w:tcW w:type="dxa" w:w="2551"/>
            <w:shd w:val="clear" w:color="auto" w:fill="E6F1F5"/>
          </w:tcPr>
          <w:p>
            <w:pPr>
              <w:spacing w:after="0"/>
            </w:pPr>
            <w:r/>
            <w:r>
              <w:rPr>
                <w:b/>
                <w:i w:val="0"/>
                <w:color w:val="0F2A44"/>
                <w:sz w:val="19"/>
              </w:rPr>
              <w:t>Version</w:t>
            </w:r>
          </w:p>
        </w:tc>
        <w:tc>
          <w:tcPr>
            <w:tcW w:type="dxa" w:w="7087"/>
          </w:tcPr>
          <w:p>
            <w:pPr>
              <w:spacing w:after="0"/>
            </w:pPr>
            <w:r/>
            <w:r>
              <w:rPr>
                <w:b w:val="0"/>
                <w:i w:val="0"/>
                <w:sz w:val="19"/>
                <w:highlight w:val="yellow"/>
              </w:rPr>
              <w:t>[1.0]</w:t>
            </w:r>
          </w:p>
        </w:tc>
      </w:tr>
      <w:tr>
        <w:trPr>
          <w:cantSplit w:val="true"/>
        </w:trPr>
        <w:tc>
          <w:tcPr>
            <w:tcW w:type="dxa" w:w="2551"/>
            <w:shd w:val="clear" w:color="auto" w:fill="E6F1F5"/>
          </w:tcPr>
          <w:p>
            <w:pPr>
              <w:spacing w:after="0"/>
            </w:pPr>
            <w:r/>
            <w:r>
              <w:rPr>
                <w:b/>
                <w:i w:val="0"/>
                <w:color w:val="0F2A44"/>
                <w:sz w:val="19"/>
              </w:rPr>
              <w:t>Classification</w:t>
            </w:r>
          </w:p>
        </w:tc>
        <w:tc>
          <w:tcPr>
            <w:tcW w:type="dxa" w:w="7087"/>
          </w:tcPr>
          <w:p>
            <w:pPr>
              <w:spacing w:after="0"/>
            </w:pPr>
            <w:r/>
            <w:r>
              <w:rPr>
                <w:b w:val="0"/>
                <w:i w:val="0"/>
                <w:sz w:val="19"/>
                <w:highlight w:val="yellow"/>
              </w:rPr>
              <w:t>[Internal]</w:t>
            </w:r>
          </w:p>
        </w:tc>
      </w:tr>
      <w:tr>
        <w:trPr>
          <w:cantSplit w:val="true"/>
        </w:trPr>
        <w:tc>
          <w:tcPr>
            <w:tcW w:type="dxa" w:w="2551"/>
            <w:shd w:val="clear" w:color="auto" w:fill="E6F1F5"/>
          </w:tcPr>
          <w:p>
            <w:pPr>
              <w:spacing w:after="0"/>
            </w:pPr>
            <w:r/>
            <w:r>
              <w:rPr>
                <w:b/>
                <w:i w:val="0"/>
                <w:color w:val="0F2A44"/>
                <w:sz w:val="19"/>
              </w:rPr>
              <w:t>Document owner</w:t>
            </w:r>
          </w:p>
        </w:tc>
        <w:tc>
          <w:tcPr>
            <w:tcW w:type="dxa" w:w="7087"/>
          </w:tcPr>
          <w:p>
            <w:pPr>
              <w:spacing w:after="0"/>
            </w:pPr>
            <w:r/>
            <w:r>
              <w:rPr>
                <w:b w:val="0"/>
                <w:i w:val="0"/>
                <w:sz w:val="19"/>
                <w:highlight w:val="yellow"/>
              </w:rPr>
              <w:t>[Owner name and title]</w:t>
            </w:r>
          </w:p>
        </w:tc>
      </w:tr>
      <w:tr>
        <w:trPr>
          <w:cantSplit w:val="true"/>
        </w:trPr>
        <w:tc>
          <w:tcPr>
            <w:tcW w:type="dxa" w:w="2551"/>
            <w:shd w:val="clear" w:color="auto" w:fill="E6F1F5"/>
          </w:tcPr>
          <w:p>
            <w:pPr>
              <w:spacing w:after="0"/>
            </w:pPr>
            <w:r/>
            <w:r>
              <w:rPr>
                <w:b/>
                <w:i w:val="0"/>
                <w:color w:val="0F2A44"/>
                <w:sz w:val="19"/>
              </w:rPr>
              <w:t>Approver</w:t>
            </w:r>
          </w:p>
        </w:tc>
        <w:tc>
          <w:tcPr>
            <w:tcW w:type="dxa" w:w="7087"/>
          </w:tcPr>
          <w:p>
            <w:pPr>
              <w:spacing w:after="0"/>
            </w:pPr>
            <w:r/>
            <w:r>
              <w:rPr>
                <w:b w:val="0"/>
                <w:i w:val="0"/>
                <w:sz w:val="19"/>
                <w:highlight w:val="yellow"/>
              </w:rPr>
              <w:t>[Approver name and title]</w:t>
            </w:r>
          </w:p>
        </w:tc>
      </w:tr>
      <w:tr>
        <w:trPr>
          <w:cantSplit w:val="true"/>
        </w:trPr>
        <w:tc>
          <w:tcPr>
            <w:tcW w:type="dxa" w:w="2551"/>
            <w:shd w:val="clear" w:color="auto" w:fill="E6F1F5"/>
          </w:tcPr>
          <w:p>
            <w:pPr>
              <w:spacing w:after="0"/>
            </w:pPr>
            <w:r/>
            <w:r>
              <w:rPr>
                <w:b/>
                <w:i w:val="0"/>
                <w:color w:val="0F2A44"/>
                <w:sz w:val="19"/>
              </w:rPr>
              <w:t>Approval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Effective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Next review date</w:t>
            </w:r>
          </w:p>
        </w:tc>
        <w:tc>
          <w:tcPr>
            <w:tcW w:type="dxa" w:w="7087"/>
          </w:tcPr>
          <w:p>
            <w:pPr>
              <w:spacing w:after="0"/>
            </w:pPr>
            <w:r/>
            <w:r>
              <w:rPr>
                <w:b w:val="0"/>
                <w:i w:val="0"/>
                <w:sz w:val="19"/>
                <w:highlight w:val="yellow"/>
              </w:rPr>
              <w:t>[DD Month YYYY]</w:t>
            </w:r>
          </w:p>
        </w:tc>
      </w:tr>
      <w:tr>
        <w:trPr>
          <w:cantSplit w:val="true"/>
        </w:trPr>
        <w:tc>
          <w:tcPr>
            <w:tcW w:type="dxa" w:w="2551"/>
            <w:shd w:val="clear" w:color="auto" w:fill="E6F1F5"/>
          </w:tcPr>
          <w:p>
            <w:pPr>
              <w:spacing w:after="0"/>
            </w:pPr>
            <w:r/>
            <w:r>
              <w:rPr>
                <w:b/>
                <w:i w:val="0"/>
                <w:color w:val="0F2A44"/>
                <w:sz w:val="19"/>
              </w:rPr>
              <w:t>Status</w:t>
            </w:r>
          </w:p>
        </w:tc>
        <w:tc>
          <w:tcPr>
            <w:tcW w:type="dxa" w:w="7087"/>
          </w:tcPr>
          <w:p>
            <w:pPr>
              <w:spacing w:after="0"/>
            </w:pPr>
            <w:r/>
            <w:r>
              <w:rPr>
                <w:b w:val="0"/>
                <w:i w:val="0"/>
                <w:sz w:val="19"/>
                <w:highlight w:val="yellow"/>
              </w:rPr>
              <w:t>[Draft / Approved / Superseded]</w:t>
            </w:r>
          </w:p>
        </w:tc>
      </w:tr>
    </w:tbl>
    <w:p>
      <w:pPr>
        <w:spacing w:after="40"/>
      </w:pPr>
    </w:p>
    <w:p>
      <w:pPr>
        <w:keepNext/>
        <w:spacing w:after="40" w:before="160"/>
      </w:pPr>
      <w:r>
        <w:rPr>
          <w:b/>
          <w:i w:val="0"/>
          <w:color w:val="0E7C86"/>
          <w:sz w:val="23"/>
        </w:rPr>
        <w:t>Version history</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1247"/>
        <w:gridCol w:w="1701"/>
        <w:gridCol w:w="2268"/>
        <w:gridCol w:w="4422"/>
      </w:tblGrid>
      <w:tr>
        <w:trPr>
          <w:tblHeader w:val="true"/>
          <w:cantSplit w:val="true"/>
        </w:trPr>
        <w:tc>
          <w:tcPr>
            <w:tcW w:type="dxa" w:w="1247"/>
            <w:shd w:val="clear" w:color="auto" w:fill="0F2A44"/>
          </w:tcPr>
          <w:p>
            <w:pPr>
              <w:spacing w:after="0"/>
            </w:pPr>
            <w:r/>
            <w:r>
              <w:rPr>
                <w:b/>
                <w:i w:val="0"/>
                <w:color w:val="FFFFFF"/>
                <w:sz w:val="19"/>
              </w:rPr>
              <w:t>Version</w:t>
            </w:r>
          </w:p>
        </w:tc>
        <w:tc>
          <w:tcPr>
            <w:tcW w:type="dxa" w:w="1701"/>
            <w:shd w:val="clear" w:color="auto" w:fill="0F2A44"/>
          </w:tcPr>
          <w:p>
            <w:pPr>
              <w:spacing w:after="0"/>
            </w:pPr>
            <w:r/>
            <w:r>
              <w:rPr>
                <w:b/>
                <w:i w:val="0"/>
                <w:color w:val="FFFFFF"/>
                <w:sz w:val="19"/>
              </w:rPr>
              <w:t>Date</w:t>
            </w:r>
          </w:p>
        </w:tc>
        <w:tc>
          <w:tcPr>
            <w:tcW w:type="dxa" w:w="2268"/>
            <w:shd w:val="clear" w:color="auto" w:fill="0F2A44"/>
          </w:tcPr>
          <w:p>
            <w:pPr>
              <w:spacing w:after="0"/>
            </w:pPr>
            <w:r/>
            <w:r>
              <w:rPr>
                <w:b/>
                <w:i w:val="0"/>
                <w:color w:val="FFFFFF"/>
                <w:sz w:val="19"/>
              </w:rPr>
              <w:t>Author</w:t>
            </w:r>
          </w:p>
        </w:tc>
        <w:tc>
          <w:tcPr>
            <w:tcW w:type="dxa" w:w="4422"/>
            <w:shd w:val="clear" w:color="auto" w:fill="0F2A44"/>
          </w:tcPr>
          <w:p>
            <w:pPr>
              <w:spacing w:after="0"/>
            </w:pPr>
            <w:r/>
            <w:r>
              <w:rPr>
                <w:b/>
                <w:i w:val="0"/>
                <w:color w:val="FFFFFF"/>
                <w:sz w:val="19"/>
              </w:rPr>
              <w:t>Summary of change</w:t>
            </w:r>
          </w:p>
        </w:tc>
      </w:tr>
      <w:tr>
        <w:trPr>
          <w:cantSplit w:val="true"/>
        </w:trPr>
        <w:tc>
          <w:tcPr>
            <w:tcW w:type="dxa" w:w="1247"/>
          </w:tcPr>
          <w:p>
            <w:pPr>
              <w:spacing w:after="0"/>
            </w:pPr>
            <w:r/>
            <w:r>
              <w:rPr>
                <w:b w:val="0"/>
                <w:i w:val="0"/>
                <w:sz w:val="19"/>
                <w:highlight w:val="yellow"/>
              </w:rPr>
              <w:t>[0.1]</w:t>
            </w:r>
          </w:p>
        </w:tc>
        <w:tc>
          <w:tcPr>
            <w:tcW w:type="dxa" w:w="1701"/>
          </w:tcPr>
          <w:p>
            <w:pPr>
              <w:spacing w:after="0"/>
            </w:pPr>
            <w:r/>
            <w:r>
              <w:rPr>
                <w:b w:val="0"/>
                <w:i w:val="0"/>
                <w:sz w:val="19"/>
                <w:highlight w:val="yellow"/>
              </w:rPr>
              <w:t>[date]</w:t>
            </w:r>
          </w:p>
        </w:tc>
        <w:tc>
          <w:tcPr>
            <w:tcW w:type="dxa" w:w="2268"/>
          </w:tcPr>
          <w:p>
            <w:pPr>
              <w:spacing w:after="0"/>
            </w:pPr>
            <w:r/>
            <w:r>
              <w:rPr>
                <w:b w:val="0"/>
                <w:i w:val="0"/>
                <w:sz w:val="19"/>
                <w:highlight w:val="yellow"/>
              </w:rPr>
              <w:t>[author]</w:t>
            </w:r>
          </w:p>
        </w:tc>
        <w:tc>
          <w:tcPr>
            <w:tcW w:type="dxa" w:w="4422"/>
          </w:tcPr>
          <w:p>
            <w:pPr>
              <w:spacing w:after="0"/>
            </w:pPr>
            <w:r/>
            <w:r>
              <w:rPr>
                <w:b w:val="0"/>
                <w:i w:val="0"/>
                <w:sz w:val="19"/>
              </w:rPr>
              <w:t>Initial draft from template</w:t>
            </w:r>
          </w:p>
        </w:tc>
      </w:tr>
      <w:tr>
        <w:trPr>
          <w:cantSplit w:val="true"/>
        </w:trPr>
        <w:tc>
          <w:tcPr>
            <w:tcW w:type="dxa" w:w="1247"/>
          </w:tcPr>
          <w:p>
            <w:pPr>
              <w:spacing w:after="0"/>
            </w:pPr>
            <w:r/>
            <w:r>
              <w:rPr>
                <w:b w:val="0"/>
                <w:i w:val="0"/>
                <w:sz w:val="19"/>
                <w:highlight w:val="yellow"/>
              </w:rPr>
              <w:t>[1.0]</w:t>
            </w:r>
          </w:p>
        </w:tc>
        <w:tc>
          <w:tcPr>
            <w:tcW w:type="dxa" w:w="1701"/>
          </w:tcPr>
          <w:p>
            <w:pPr>
              <w:spacing w:after="0"/>
            </w:pPr>
            <w:r/>
            <w:r>
              <w:rPr>
                <w:b w:val="0"/>
                <w:i w:val="0"/>
                <w:sz w:val="19"/>
                <w:highlight w:val="yellow"/>
              </w:rPr>
              <w:t>[date]</w:t>
            </w:r>
          </w:p>
        </w:tc>
        <w:tc>
          <w:tcPr>
            <w:tcW w:type="dxa" w:w="2268"/>
          </w:tcPr>
          <w:p>
            <w:pPr>
              <w:spacing w:after="0"/>
            </w:pPr>
            <w:r/>
            <w:r>
              <w:rPr>
                <w:b w:val="0"/>
                <w:i w:val="0"/>
                <w:sz w:val="19"/>
                <w:highlight w:val="yellow"/>
              </w:rPr>
              <w:t>[author]</w:t>
            </w:r>
          </w:p>
        </w:tc>
        <w:tc>
          <w:tcPr>
            <w:tcW w:type="dxa" w:w="4422"/>
          </w:tcPr>
          <w:p>
            <w:pPr>
              <w:spacing w:after="0"/>
            </w:pPr>
            <w:r/>
            <w:r>
              <w:rPr>
                <w:b w:val="0"/>
                <w:i w:val="0"/>
                <w:sz w:val="19"/>
                <w:highlight w:val="yellow"/>
              </w:rPr>
              <w:t>[Approved for release]</w:t>
            </w:r>
          </w:p>
        </w:tc>
      </w:tr>
    </w:tbl>
    <w:p>
      <w:pPr>
        <w:spacing w:after="40"/>
      </w:pPr>
    </w:p>
    <w:p>
      <w:pPr>
        <w:spacing w:after="0" w:before="0"/>
      </w:pPr>
      <w:r>
        <w:rPr>
          <w:b w:val="0"/>
          <w:i/>
          <w:color w:val="5B6B7C"/>
          <w:sz w:val="18"/>
        </w:rPr>
        <w:t xml:space="preserve">How to use this template: replace every highlighted </w:t>
      </w:r>
      <w:r>
        <w:rPr>
          <w:b w:val="0"/>
          <w:i/>
          <w:color w:val="5B6B7C"/>
          <w:sz w:val="18"/>
          <w:highlight w:val="yellow"/>
        </w:rPr>
        <w:t>[bracketed value]</w:t>
      </w:r>
      <w:r>
        <w:rPr>
          <w:b w:val="0"/>
          <w:i/>
          <w:color w:val="5B6B7C"/>
          <w:sz w:val="18"/>
        </w:rPr>
        <w:t xml:space="preserve"> with your own, delete anything that does not apply, and add what your organisation does that is not covered. Keep each statement something you can show evidence for.</w:t>
      </w:r>
    </w:p>
    <w:p>
      <w:pPr>
        <w:keepNext/>
        <w:spacing w:after="80" w:before="280"/>
        <w:pBdr>
          <w:bottom w:val="single" w:sz="6" w:space="2" w:color="0E7C86"/>
        </w:pBdr>
      </w:pPr>
      <w:r>
        <w:rPr>
          <w:b/>
          <w:i w:val="0"/>
          <w:color w:val="0F2A44"/>
          <w:sz w:val="28"/>
        </w:rPr>
        <w:t>1. Purpose</w:t>
      </w:r>
    </w:p>
    <w:p>
      <w:pPr>
        <w:spacing w:after="80" w:before="0"/>
      </w:pPr>
      <w:r>
        <w:rPr>
          <w:b w:val="0"/>
          <w:i w:val="0"/>
        </w:rPr>
        <w:t xml:space="preserve">This policy sets out how </w:t>
      </w:r>
      <w:r>
        <w:rPr>
          <w:b w:val="0"/>
          <w:i w:val="0"/>
          <w:highlight w:val="yellow"/>
        </w:rPr>
        <w:t>[Company Name]</w:t>
      </w:r>
      <w:r>
        <w:rPr>
          <w:b w:val="0"/>
          <w:i w:val="0"/>
        </w:rPr>
        <w:t xml:space="preserve"> identifies, assesses, treats, monitors and reports risks that could affect its objectives, with particular focus on information, technology and operational risk. It ensures decisions about risk are made by the right people, on consistent criteria, and are recorded.</w:t>
      </w:r>
    </w:p>
    <w:p>
      <w:pPr>
        <w:spacing w:after="80" w:before="0"/>
      </w:pPr>
      <w:r>
        <w:rPr>
          <w:b w:val="0"/>
          <w:i w:val="0"/>
        </w:rPr>
        <w:t>Risk management supports decision-making. It is not a paperwork exercise and it does not aim to remove all risk.</w:t>
      </w:r>
    </w:p>
    <w:p>
      <w:pPr>
        <w:keepNext/>
        <w:spacing w:after="80" w:before="280"/>
        <w:pBdr>
          <w:bottom w:val="single" w:sz="6" w:space="2" w:color="0E7C86"/>
        </w:pBdr>
      </w:pPr>
      <w:r>
        <w:rPr>
          <w:b/>
          <w:i w:val="0"/>
          <w:color w:val="0F2A44"/>
          <w:sz w:val="28"/>
        </w:rPr>
        <w:t>2. Scope</w:t>
      </w:r>
    </w:p>
    <w:p>
      <w:pPr>
        <w:tabs>
          <w:tab w:pos="567" w:val="left"/>
        </w:tabs>
        <w:spacing w:after="40"/>
        <w:ind w:left="567" w:hanging="283"/>
      </w:pPr>
      <w:r>
        <w:t>•</w:t>
        <w:tab/>
      </w:r>
      <w:r>
        <w:rPr>
          <w:b w:val="0"/>
          <w:i w:val="0"/>
        </w:rPr>
        <w:t xml:space="preserve">Strategic, operational, technology, information security, privacy, supplier, legal and project risks across </w:t>
      </w:r>
      <w:r>
        <w:rPr>
          <w:b w:val="0"/>
          <w:i w:val="0"/>
          <w:highlight w:val="yellow"/>
        </w:rPr>
        <w:t>[Company Name]</w:t>
      </w:r>
      <w:r>
        <w:rPr>
          <w:b w:val="0"/>
          <w:i w:val="0"/>
        </w:rPr>
        <w:t>.</w:t>
      </w:r>
    </w:p>
    <w:p>
      <w:pPr>
        <w:tabs>
          <w:tab w:pos="567" w:val="left"/>
        </w:tabs>
        <w:spacing w:after="40"/>
        <w:ind w:left="567" w:hanging="283"/>
      </w:pPr>
      <w:r>
        <w:t>•</w:t>
        <w:tab/>
      </w:r>
      <w:r>
        <w:rPr>
          <w:b w:val="0"/>
          <w:i w:val="0"/>
        </w:rPr>
        <w:t>All departments, projects and change initiatives, and all people who own, assess or report risk.</w:t>
      </w:r>
    </w:p>
    <w:p>
      <w:pPr>
        <w:tabs>
          <w:tab w:pos="567" w:val="left"/>
        </w:tabs>
        <w:spacing w:after="40"/>
        <w:ind w:left="567" w:hanging="283"/>
      </w:pPr>
      <w:r>
        <w:t>•</w:t>
        <w:tab/>
      </w:r>
      <w:r>
        <w:rPr>
          <w:b w:val="0"/>
          <w:i w:val="0"/>
        </w:rPr>
        <w:t>Enterprise-level risks and the detailed risk registers beneath them.</w:t>
      </w:r>
    </w:p>
    <w:p>
      <w:pPr>
        <w:keepNext/>
        <w:spacing w:after="80" w:before="280"/>
        <w:pBdr>
          <w:bottom w:val="single" w:sz="6" w:space="2" w:color="0E7C86"/>
        </w:pBdr>
      </w:pPr>
      <w:r>
        <w:rPr>
          <w:b/>
          <w:i w:val="0"/>
          <w:color w:val="0F2A44"/>
          <w:sz w:val="28"/>
        </w:rPr>
        <w:t>3. Roles and responsibilities</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835"/>
        <w:gridCol w:w="6804"/>
      </w:tblGrid>
      <w:tr>
        <w:trPr>
          <w:tblHeader w:val="true"/>
          <w:cantSplit w:val="true"/>
        </w:trPr>
        <w:tc>
          <w:tcPr>
            <w:tcW w:type="dxa" w:w="2835"/>
            <w:shd w:val="clear" w:color="auto" w:fill="0F2A44"/>
          </w:tcPr>
          <w:p>
            <w:pPr>
              <w:spacing w:after="0"/>
            </w:pPr>
            <w:r/>
            <w:r>
              <w:rPr>
                <w:b/>
                <w:i w:val="0"/>
                <w:color w:val="FFFFFF"/>
                <w:sz w:val="19"/>
              </w:rPr>
              <w:t>Role</w:t>
            </w:r>
          </w:p>
        </w:tc>
        <w:tc>
          <w:tcPr>
            <w:tcW w:type="dxa" w:w="6803"/>
            <w:shd w:val="clear" w:color="auto" w:fill="0F2A44"/>
          </w:tcPr>
          <w:p>
            <w:pPr>
              <w:spacing w:after="0"/>
            </w:pPr>
            <w:r/>
            <w:r>
              <w:rPr>
                <w:b/>
                <w:i w:val="0"/>
                <w:color w:val="FFFFFF"/>
                <w:sz w:val="19"/>
              </w:rPr>
              <w:t>Responsibility</w:t>
            </w:r>
          </w:p>
        </w:tc>
      </w:tr>
      <w:tr>
        <w:trPr>
          <w:cantSplit w:val="true"/>
        </w:trPr>
        <w:tc>
          <w:tcPr>
            <w:tcW w:type="dxa" w:w="2835"/>
          </w:tcPr>
          <w:p>
            <w:pPr>
              <w:spacing w:after="0"/>
            </w:pPr>
            <w:r/>
            <w:r>
              <w:rPr>
                <w:b w:val="0"/>
                <w:i w:val="0"/>
                <w:sz w:val="19"/>
              </w:rPr>
              <w:t>Board / executive management</w:t>
            </w:r>
          </w:p>
        </w:tc>
        <w:tc>
          <w:tcPr>
            <w:tcW w:type="dxa" w:w="6803"/>
          </w:tcPr>
          <w:p>
            <w:pPr>
              <w:spacing w:after="0"/>
            </w:pPr>
            <w:r/>
            <w:r>
              <w:rPr>
                <w:b w:val="0"/>
                <w:i w:val="0"/>
                <w:sz w:val="19"/>
              </w:rPr>
              <w:t>Sets risk appetite, reviews the top risks and accepts risks rated High or Critical.</w:t>
            </w:r>
          </w:p>
        </w:tc>
      </w:tr>
      <w:tr>
        <w:trPr>
          <w:cantSplit w:val="true"/>
        </w:trPr>
        <w:tc>
          <w:tcPr>
            <w:tcW w:type="dxa" w:w="2835"/>
          </w:tcPr>
          <w:p>
            <w:pPr>
              <w:spacing w:after="0"/>
            </w:pPr>
            <w:r/>
            <w:r>
              <w:rPr>
                <w:b w:val="0"/>
                <w:i w:val="0"/>
                <w:sz w:val="19"/>
              </w:rPr>
              <w:t>Risk committee (</w:t>
            </w:r>
            <w:r>
              <w:rPr>
                <w:b w:val="0"/>
                <w:i w:val="0"/>
                <w:sz w:val="19"/>
                <w:highlight w:val="yellow"/>
              </w:rPr>
              <w:t>[name]</w:t>
            </w:r>
            <w:r>
              <w:rPr>
                <w:b w:val="0"/>
                <w:i w:val="0"/>
                <w:sz w:val="19"/>
              </w:rPr>
              <w:t>)</w:t>
            </w:r>
          </w:p>
        </w:tc>
        <w:tc>
          <w:tcPr>
            <w:tcW w:type="dxa" w:w="6803"/>
          </w:tcPr>
          <w:p>
            <w:pPr>
              <w:spacing w:after="0"/>
            </w:pPr>
            <w:r/>
            <w:r>
              <w:rPr>
                <w:b w:val="0"/>
                <w:i w:val="0"/>
                <w:sz w:val="19"/>
              </w:rPr>
              <w:t xml:space="preserve">Challenges ratings and treatment plans, and meets at least </w:t>
            </w:r>
            <w:r>
              <w:rPr>
                <w:b w:val="0"/>
                <w:i w:val="0"/>
                <w:sz w:val="19"/>
                <w:highlight w:val="yellow"/>
              </w:rPr>
              <w:t>[quarterly]</w:t>
            </w:r>
            <w:r>
              <w:rPr>
                <w:b w:val="0"/>
                <w:i w:val="0"/>
                <w:sz w:val="19"/>
              </w:rPr>
              <w:t>.</w:t>
            </w:r>
          </w:p>
        </w:tc>
      </w:tr>
      <w:tr>
        <w:trPr>
          <w:cantSplit w:val="true"/>
        </w:trPr>
        <w:tc>
          <w:tcPr>
            <w:tcW w:type="dxa" w:w="2835"/>
          </w:tcPr>
          <w:p>
            <w:pPr>
              <w:spacing w:after="0"/>
            </w:pPr>
            <w:r/>
            <w:r>
              <w:rPr>
                <w:b w:val="0"/>
                <w:i w:val="0"/>
                <w:sz w:val="19"/>
              </w:rPr>
              <w:t>Risk owner</w:t>
            </w:r>
          </w:p>
        </w:tc>
        <w:tc>
          <w:tcPr>
            <w:tcW w:type="dxa" w:w="6803"/>
          </w:tcPr>
          <w:p>
            <w:pPr>
              <w:spacing w:after="0"/>
            </w:pPr>
            <w:r/>
            <w:r>
              <w:rPr>
                <w:b w:val="0"/>
                <w:i w:val="0"/>
                <w:sz w:val="19"/>
              </w:rPr>
              <w:t>A manager accountable for one risk: keeps the entry current, delivers treatment and reports changes.</w:t>
            </w:r>
          </w:p>
        </w:tc>
      </w:tr>
      <w:tr>
        <w:trPr>
          <w:cantSplit w:val="true"/>
        </w:trPr>
        <w:tc>
          <w:tcPr>
            <w:tcW w:type="dxa" w:w="2835"/>
          </w:tcPr>
          <w:p>
            <w:pPr>
              <w:spacing w:after="0"/>
            </w:pPr>
            <w:r/>
            <w:r>
              <w:rPr>
                <w:b w:val="0"/>
                <w:i w:val="0"/>
                <w:sz w:val="19"/>
              </w:rPr>
              <w:t>Risk management function (</w:t>
            </w:r>
            <w:r>
              <w:rPr>
                <w:b w:val="0"/>
                <w:i w:val="0"/>
                <w:sz w:val="19"/>
                <w:highlight w:val="yellow"/>
              </w:rPr>
              <w:t>[Title]</w:t>
            </w:r>
            <w:r>
              <w:rPr>
                <w:b w:val="0"/>
                <w:i w:val="0"/>
                <w:sz w:val="19"/>
              </w:rPr>
              <w:t>)</w:t>
            </w:r>
          </w:p>
        </w:tc>
        <w:tc>
          <w:tcPr>
            <w:tcW w:type="dxa" w:w="6803"/>
          </w:tcPr>
          <w:p>
            <w:pPr>
              <w:spacing w:after="0"/>
            </w:pPr>
            <w:r/>
            <w:r>
              <w:rPr>
                <w:b w:val="0"/>
                <w:i w:val="0"/>
                <w:sz w:val="19"/>
              </w:rPr>
              <w:t>Maintains the method and register, facilitates assessments, quality-checks entries and reports to the committee.</w:t>
            </w:r>
          </w:p>
        </w:tc>
      </w:tr>
      <w:tr>
        <w:trPr>
          <w:cantSplit w:val="true"/>
        </w:trPr>
        <w:tc>
          <w:tcPr>
            <w:tcW w:type="dxa" w:w="2835"/>
          </w:tcPr>
          <w:p>
            <w:pPr>
              <w:spacing w:after="0"/>
            </w:pPr>
            <w:r/>
            <w:r>
              <w:rPr>
                <w:b w:val="0"/>
                <w:i w:val="0"/>
                <w:sz w:val="19"/>
              </w:rPr>
              <w:t>Control owners</w:t>
            </w:r>
          </w:p>
        </w:tc>
        <w:tc>
          <w:tcPr>
            <w:tcW w:type="dxa" w:w="6803"/>
          </w:tcPr>
          <w:p>
            <w:pPr>
              <w:spacing w:after="0"/>
            </w:pPr>
            <w:r/>
            <w:r>
              <w:rPr>
                <w:b w:val="0"/>
                <w:i w:val="0"/>
                <w:sz w:val="19"/>
              </w:rPr>
              <w:t>Operate the controls that reduce risk and provide evidence that they work.</w:t>
            </w:r>
          </w:p>
        </w:tc>
      </w:tr>
      <w:tr>
        <w:trPr>
          <w:cantSplit w:val="true"/>
        </w:trPr>
        <w:tc>
          <w:tcPr>
            <w:tcW w:type="dxa" w:w="2835"/>
          </w:tcPr>
          <w:p>
            <w:pPr>
              <w:spacing w:after="0"/>
            </w:pPr>
            <w:r/>
            <w:r>
              <w:rPr>
                <w:b w:val="0"/>
                <w:i w:val="0"/>
                <w:sz w:val="19"/>
              </w:rPr>
              <w:t>Internal audit</w:t>
            </w:r>
          </w:p>
        </w:tc>
        <w:tc>
          <w:tcPr>
            <w:tcW w:type="dxa" w:w="6803"/>
          </w:tcPr>
          <w:p>
            <w:pPr>
              <w:spacing w:after="0"/>
            </w:pPr>
            <w:r/>
            <w:r>
              <w:rPr>
                <w:b w:val="0"/>
                <w:i w:val="0"/>
                <w:sz w:val="19"/>
              </w:rPr>
              <w:t>Independently tests that this policy is followed and that the register is complete and reliable.</w:t>
            </w:r>
          </w:p>
        </w:tc>
      </w:tr>
    </w:tbl>
    <w:p>
      <w:pPr>
        <w:spacing w:after="40"/>
      </w:pPr>
    </w:p>
    <w:p>
      <w:pPr>
        <w:keepNext/>
        <w:spacing w:after="80" w:before="280"/>
        <w:pBdr>
          <w:bottom w:val="single" w:sz="6" w:space="2" w:color="0E7C86"/>
        </w:pBdr>
      </w:pPr>
      <w:r>
        <w:rPr>
          <w:b/>
          <w:i w:val="0"/>
          <w:color w:val="0F2A44"/>
          <w:sz w:val="28"/>
        </w:rPr>
        <w:t>4. Policy statements</w:t>
      </w:r>
    </w:p>
    <w:p>
      <w:pPr>
        <w:spacing w:after="40" w:before="0"/>
      </w:pPr>
      <w:r>
        <w:rPr>
          <w:b w:val="0"/>
          <w:i/>
          <w:color w:val="5B6B7C"/>
          <w:sz w:val="19"/>
        </w:rPr>
        <w:t>The word shall indicates a mandatory requirement. Values in brackets are suggested starting points.</w:t>
      </w:r>
    </w:p>
    <w:p>
      <w:pPr>
        <w:keepNext/>
        <w:spacing w:after="40" w:before="160"/>
      </w:pPr>
      <w:r>
        <w:rPr>
          <w:b/>
          <w:i w:val="0"/>
          <w:color w:val="0E7C86"/>
          <w:sz w:val="23"/>
        </w:rPr>
        <w:t>4.1  Governance and appetite</w:t>
      </w:r>
    </w:p>
    <w:p>
      <w:pPr>
        <w:tabs>
          <w:tab w:pos="794" w:val="left"/>
        </w:tabs>
        <w:spacing w:after="60"/>
        <w:ind w:left="794" w:hanging="794"/>
      </w:pPr>
      <w:r>
        <w:rPr>
          <w:b/>
          <w:color w:val="0F2A44"/>
        </w:rPr>
        <w:t>4.1.1</w:t>
        <w:tab/>
      </w:r>
      <w:r>
        <w:rPr>
          <w:b w:val="0"/>
          <w:i w:val="0"/>
        </w:rPr>
        <w:t xml:space="preserve">Executive management shall approve a risk appetite statement at least </w:t>
      </w:r>
      <w:r>
        <w:rPr>
          <w:b w:val="0"/>
          <w:i w:val="0"/>
          <w:highlight w:val="yellow"/>
        </w:rPr>
        <w:t>[annually]</w:t>
      </w:r>
      <w:r>
        <w:rPr>
          <w:b w:val="0"/>
          <w:i w:val="0"/>
        </w:rPr>
        <w:t>, expressed in terms the business can apply, for example the level of financial loss, downtime or data exposure it is willing to tolerate.</w:t>
      </w:r>
    </w:p>
    <w:p>
      <w:pPr>
        <w:tabs>
          <w:tab w:pos="794" w:val="left"/>
        </w:tabs>
        <w:spacing w:after="60"/>
        <w:ind w:left="794" w:hanging="794"/>
      </w:pPr>
      <w:r>
        <w:rPr>
          <w:b/>
          <w:color w:val="0F2A44"/>
        </w:rPr>
        <w:t>4.1.2</w:t>
        <w:tab/>
      </w:r>
      <w:r>
        <w:rPr>
          <w:b w:val="0"/>
          <w:i w:val="0"/>
        </w:rPr>
        <w:t>Risks outside appetite shall be escalated and either treated or formally accepted at the level set in section 4.4.</w:t>
      </w:r>
    </w:p>
    <w:p>
      <w:pPr>
        <w:tabs>
          <w:tab w:pos="794" w:val="left"/>
        </w:tabs>
        <w:spacing w:after="60"/>
        <w:ind w:left="794" w:hanging="794"/>
      </w:pPr>
      <w:r>
        <w:rPr>
          <w:b/>
          <w:color w:val="0F2A44"/>
        </w:rPr>
        <w:t>4.1.3</w:t>
        <w:tab/>
      </w:r>
      <w:r>
        <w:rPr>
          <w:b w:val="0"/>
          <w:i w:val="0"/>
        </w:rPr>
        <w:t xml:space="preserve">The risk committee shall review the top risks and the treatment status at least </w:t>
      </w:r>
      <w:r>
        <w:rPr>
          <w:b w:val="0"/>
          <w:i w:val="0"/>
          <w:highlight w:val="yellow"/>
        </w:rPr>
        <w:t>[quarterly]</w:t>
      </w:r>
      <w:r>
        <w:rPr>
          <w:b w:val="0"/>
          <w:i w:val="0"/>
        </w:rPr>
        <w:t>.</w:t>
      </w:r>
    </w:p>
    <w:p>
      <w:pPr>
        <w:keepNext/>
        <w:spacing w:after="40" w:before="160"/>
      </w:pPr>
      <w:r>
        <w:rPr>
          <w:b/>
          <w:i w:val="0"/>
          <w:color w:val="0E7C86"/>
          <w:sz w:val="23"/>
        </w:rPr>
        <w:t>4.2  Risk assessment method</w:t>
      </w:r>
    </w:p>
    <w:p>
      <w:pPr>
        <w:tabs>
          <w:tab w:pos="794" w:val="left"/>
        </w:tabs>
        <w:spacing w:after="60"/>
        <w:ind w:left="794" w:hanging="794"/>
      </w:pPr>
      <w:r>
        <w:rPr>
          <w:b/>
          <w:color w:val="0F2A44"/>
        </w:rPr>
        <w:t>4.2.1</w:t>
        <w:tab/>
      </w:r>
      <w:r>
        <w:rPr>
          <w:b w:val="0"/>
          <w:i w:val="0"/>
        </w:rPr>
        <w:t>Risks shall be described as cause, event and consequence so that the risk can be understood and the right control chosen.</w:t>
      </w:r>
    </w:p>
    <w:p>
      <w:pPr>
        <w:tabs>
          <w:tab w:pos="794" w:val="left"/>
        </w:tabs>
        <w:spacing w:after="60"/>
        <w:ind w:left="794" w:hanging="794"/>
      </w:pPr>
      <w:r>
        <w:rPr>
          <w:b/>
          <w:color w:val="0F2A44"/>
        </w:rPr>
        <w:t>4.2.2</w:t>
        <w:tab/>
      </w:r>
      <w:r>
        <w:rPr>
          <w:b w:val="0"/>
          <w:i w:val="0"/>
        </w:rPr>
        <w:t>Each risk shall be scored for likelihood and impact on the scales in Appendix B, giving an inherent score before controls and a residual score after existing controls.</w:t>
      </w:r>
    </w:p>
    <w:p>
      <w:pPr>
        <w:tabs>
          <w:tab w:pos="794" w:val="left"/>
        </w:tabs>
        <w:spacing w:after="60"/>
        <w:ind w:left="794" w:hanging="794"/>
      </w:pPr>
      <w:r>
        <w:rPr>
          <w:b/>
          <w:color w:val="0F2A44"/>
        </w:rPr>
        <w:t>4.2.3</w:t>
        <w:tab/>
      </w:r>
      <w:r>
        <w:rPr>
          <w:b w:val="0"/>
          <w:i w:val="0"/>
        </w:rPr>
        <w:t>Residual scores shall rely only on controls that are in place and operating, with a named control owner and evidence.</w:t>
      </w:r>
    </w:p>
    <w:p>
      <w:pPr>
        <w:tabs>
          <w:tab w:pos="794" w:val="left"/>
        </w:tabs>
        <w:spacing w:after="60"/>
        <w:ind w:left="794" w:hanging="794"/>
      </w:pPr>
      <w:r>
        <w:rPr>
          <w:b/>
          <w:color w:val="0F2A44"/>
        </w:rPr>
        <w:t>4.2.4</w:t>
        <w:tab/>
      </w:r>
      <w:r>
        <w:rPr>
          <w:b w:val="0"/>
          <w:i w:val="0"/>
        </w:rPr>
        <w:t>Assessments shall use several input sources: workshops with business owners, incident and near-miss data, audit findings, threat intelligence, supplier assessments and changes in obligations.</w:t>
      </w:r>
    </w:p>
    <w:p>
      <w:pPr>
        <w:keepNext/>
        <w:spacing w:after="40" w:before="160"/>
      </w:pPr>
      <w:r>
        <w:rPr>
          <w:b/>
          <w:i w:val="0"/>
          <w:color w:val="0E7C86"/>
          <w:sz w:val="23"/>
        </w:rPr>
        <w:t>4.3  Risk register</w:t>
      </w:r>
    </w:p>
    <w:p>
      <w:pPr>
        <w:tabs>
          <w:tab w:pos="794" w:val="left"/>
        </w:tabs>
        <w:spacing w:after="60"/>
        <w:ind w:left="794" w:hanging="794"/>
      </w:pPr>
      <w:r>
        <w:rPr>
          <w:b/>
          <w:color w:val="0F2A44"/>
        </w:rPr>
        <w:t>4.3.1</w:t>
        <w:tab/>
      </w:r>
      <w:r>
        <w:rPr>
          <w:b w:val="0"/>
          <w:i w:val="0"/>
          <w:highlight w:val="yellow"/>
        </w:rPr>
        <w:t>[Company Name]</w:t>
      </w:r>
      <w:r>
        <w:rPr>
          <w:b w:val="0"/>
          <w:i w:val="0"/>
        </w:rPr>
        <w:t xml:space="preserve"> shall keep one register of risks. Each entry shall record: reference, description, category, owner, inherent score, key controls, residual score, treatment decision, actions with due dates, status and date last reviewed.</w:t>
      </w:r>
    </w:p>
    <w:p>
      <w:pPr>
        <w:tabs>
          <w:tab w:pos="794" w:val="left"/>
        </w:tabs>
        <w:spacing w:after="60"/>
        <w:ind w:left="794" w:hanging="794"/>
      </w:pPr>
      <w:r>
        <w:rPr>
          <w:b/>
          <w:color w:val="0F2A44"/>
        </w:rPr>
        <w:t>4.3.2</w:t>
        <w:tab/>
      </w:r>
      <w:r>
        <w:rPr>
          <w:b w:val="0"/>
          <w:i w:val="0"/>
        </w:rPr>
        <w:t>Every risk shall have exactly one named owner, who is a manager with authority to act on it.</w:t>
      </w:r>
    </w:p>
    <w:p>
      <w:pPr>
        <w:tabs>
          <w:tab w:pos="794" w:val="left"/>
        </w:tabs>
        <w:spacing w:after="60"/>
        <w:ind w:left="794" w:hanging="794"/>
      </w:pPr>
      <w:r>
        <w:rPr>
          <w:b/>
          <w:color w:val="0F2A44"/>
        </w:rPr>
        <w:t>4.3.3</w:t>
        <w:tab/>
      </w:r>
      <w:r>
        <w:rPr>
          <w:b w:val="0"/>
          <w:i w:val="0"/>
        </w:rPr>
        <w:t xml:space="preserve">Closed risks shall stay in the register, with the closure reason, for at least </w:t>
      </w:r>
      <w:r>
        <w:rPr>
          <w:b w:val="0"/>
          <w:i w:val="0"/>
          <w:highlight w:val="yellow"/>
        </w:rPr>
        <w:t>[3 years]</w:t>
      </w:r>
      <w:r>
        <w:rPr>
          <w:b w:val="0"/>
          <w:i w:val="0"/>
        </w:rPr>
        <w:t>.</w:t>
      </w:r>
    </w:p>
    <w:p>
      <w:pPr>
        <w:keepNext/>
        <w:spacing w:after="40" w:before="160"/>
      </w:pPr>
      <w:r>
        <w:rPr>
          <w:b/>
          <w:i w:val="0"/>
          <w:color w:val="0E7C86"/>
          <w:sz w:val="23"/>
        </w:rPr>
        <w:t>4.4  Risk treatment and acceptance</w:t>
      </w:r>
    </w:p>
    <w:p>
      <w:pPr>
        <w:tabs>
          <w:tab w:pos="794" w:val="left"/>
        </w:tabs>
        <w:spacing w:after="60"/>
        <w:ind w:left="794" w:hanging="794"/>
      </w:pPr>
      <w:r>
        <w:rPr>
          <w:b/>
          <w:color w:val="0F2A44"/>
        </w:rPr>
        <w:t>4.4.1</w:t>
        <w:tab/>
      </w:r>
      <w:r>
        <w:rPr>
          <w:b w:val="0"/>
          <w:i w:val="0"/>
        </w:rPr>
        <w:t>Each risk outside appetite shall have a treatment decision: reduce, transfer, avoid or accept.</w:t>
      </w:r>
    </w:p>
    <w:p>
      <w:pPr>
        <w:tabs>
          <w:tab w:pos="794" w:val="left"/>
        </w:tabs>
        <w:spacing w:after="60"/>
        <w:ind w:left="794" w:hanging="794"/>
      </w:pPr>
      <w:r>
        <w:rPr>
          <w:b/>
          <w:color w:val="0F2A44"/>
        </w:rPr>
        <w:t>4.4.2</w:t>
        <w:tab/>
      </w:r>
      <w:r>
        <w:rPr>
          <w:b w:val="0"/>
          <w:i w:val="0"/>
        </w:rPr>
        <w:t>Treatment actions shall be specific, owned, dated and tracked to completion. Overdue actions shall be reported to the risk committee.</w:t>
      </w:r>
    </w:p>
    <w:p>
      <w:pPr>
        <w:tabs>
          <w:tab w:pos="794" w:val="left"/>
        </w:tabs>
        <w:spacing w:after="60"/>
        <w:ind w:left="794" w:hanging="794"/>
      </w:pPr>
      <w:r>
        <w:rPr>
          <w:b/>
          <w:color w:val="0F2A44"/>
        </w:rPr>
        <w:t>4.4.3</w:t>
        <w:tab/>
      </w:r>
      <w:r>
        <w:rPr>
          <w:b w:val="0"/>
          <w:i w:val="0"/>
        </w:rPr>
        <w:t xml:space="preserve">Risk acceptance authority by residual rating shall be: Low, the risk owner; Medium, the department head; High, a member of executive management; Critical, the </w:t>
      </w:r>
      <w:r>
        <w:rPr>
          <w:b w:val="0"/>
          <w:i w:val="0"/>
          <w:highlight w:val="yellow"/>
        </w:rPr>
        <w:t>[CEO or board]</w:t>
      </w:r>
      <w:r>
        <w:rPr>
          <w:b w:val="0"/>
          <w:i w:val="0"/>
        </w:rPr>
        <w:t>.</w:t>
      </w:r>
    </w:p>
    <w:p>
      <w:pPr>
        <w:tabs>
          <w:tab w:pos="794" w:val="left"/>
        </w:tabs>
        <w:spacing w:after="60"/>
        <w:ind w:left="794" w:hanging="794"/>
      </w:pPr>
      <w:r>
        <w:rPr>
          <w:b/>
          <w:color w:val="0F2A44"/>
        </w:rPr>
        <w:t>4.4.4</w:t>
        <w:tab/>
      </w:r>
      <w:r>
        <w:rPr>
          <w:b w:val="0"/>
          <w:i w:val="0"/>
        </w:rPr>
        <w:t xml:space="preserve">Every acceptance shall be written, name the approver, state the rationale and expire after no more than </w:t>
      </w:r>
      <w:r>
        <w:rPr>
          <w:b w:val="0"/>
          <w:i w:val="0"/>
          <w:highlight w:val="yellow"/>
        </w:rPr>
        <w:t>[12 months]</w:t>
      </w:r>
      <w:r>
        <w:rPr>
          <w:b w:val="0"/>
          <w:i w:val="0"/>
        </w:rPr>
        <w:t>, when the risk shall be reassessed.</w:t>
      </w:r>
    </w:p>
    <w:p>
      <w:pPr>
        <w:keepNext/>
        <w:spacing w:after="40" w:before="160"/>
      </w:pPr>
      <w:r>
        <w:rPr>
          <w:b/>
          <w:i w:val="0"/>
          <w:color w:val="0E7C86"/>
          <w:sz w:val="23"/>
        </w:rPr>
        <w:t>4.5  Monitoring and reporting</w:t>
      </w:r>
    </w:p>
    <w:p>
      <w:pPr>
        <w:tabs>
          <w:tab w:pos="794" w:val="left"/>
        </w:tabs>
        <w:spacing w:after="60"/>
        <w:ind w:left="794" w:hanging="794"/>
      </w:pPr>
      <w:r>
        <w:rPr>
          <w:b/>
          <w:color w:val="0F2A44"/>
        </w:rPr>
        <w:t>4.5.1</w:t>
        <w:tab/>
      </w:r>
      <w:r>
        <w:rPr>
          <w:b w:val="0"/>
          <w:i w:val="0"/>
        </w:rPr>
        <w:t>Key risk indicators with thresholds shall be defined for the highest risks, and breaches shall trigger a review of the risk and its treatment.</w:t>
      </w:r>
    </w:p>
    <w:p>
      <w:pPr>
        <w:tabs>
          <w:tab w:pos="794" w:val="left"/>
        </w:tabs>
        <w:spacing w:after="60"/>
        <w:ind w:left="794" w:hanging="794"/>
      </w:pPr>
      <w:r>
        <w:rPr>
          <w:b/>
          <w:color w:val="0F2A44"/>
        </w:rPr>
        <w:t>4.5.2</w:t>
        <w:tab/>
      </w:r>
      <w:r>
        <w:rPr>
          <w:b w:val="0"/>
          <w:i w:val="0"/>
        </w:rPr>
        <w:t>Review frequency shall be: Critical and High risks monthly, Medium quarterly, Low at least annually.</w:t>
      </w:r>
    </w:p>
    <w:p>
      <w:pPr>
        <w:tabs>
          <w:tab w:pos="794" w:val="left"/>
        </w:tabs>
        <w:spacing w:after="60"/>
        <w:ind w:left="794" w:hanging="794"/>
      </w:pPr>
      <w:r>
        <w:rPr>
          <w:b/>
          <w:color w:val="0F2A44"/>
        </w:rPr>
        <w:t>4.5.3</w:t>
        <w:tab/>
      </w:r>
      <w:r>
        <w:rPr>
          <w:b w:val="0"/>
          <w:i w:val="0"/>
        </w:rPr>
        <w:t xml:space="preserve">A risk report covering the top risks, movement since last period, overdue actions and expiring acceptances shall go to executive management at least </w:t>
      </w:r>
      <w:r>
        <w:rPr>
          <w:b w:val="0"/>
          <w:i w:val="0"/>
          <w:highlight w:val="yellow"/>
        </w:rPr>
        <w:t>[quarterly]</w:t>
      </w:r>
      <w:r>
        <w:rPr>
          <w:b w:val="0"/>
          <w:i w:val="0"/>
        </w:rPr>
        <w:t>.</w:t>
      </w:r>
    </w:p>
    <w:p>
      <w:pPr>
        <w:keepNext/>
        <w:spacing w:after="40" w:before="160"/>
      </w:pPr>
      <w:r>
        <w:rPr>
          <w:b/>
          <w:i w:val="0"/>
          <w:color w:val="0E7C86"/>
          <w:sz w:val="23"/>
        </w:rPr>
        <w:t>4.6  Triggers for reassessment</w:t>
      </w:r>
    </w:p>
    <w:p>
      <w:pPr>
        <w:tabs>
          <w:tab w:pos="794" w:val="left"/>
        </w:tabs>
        <w:spacing w:after="60"/>
        <w:ind w:left="794" w:hanging="794"/>
      </w:pPr>
      <w:r>
        <w:rPr>
          <w:b/>
          <w:color w:val="0F2A44"/>
        </w:rPr>
        <w:t>4.6.1</w:t>
        <w:tab/>
      </w:r>
      <w:r>
        <w:rPr>
          <w:b w:val="0"/>
          <w:i w:val="0"/>
        </w:rPr>
        <w:t>An assessment shall be done or refreshed when: a new system, product or supplier is introduced; a significant change is planned; a major incident or audit finding occurs; or a new legal or contractual requirement applies.</w:t>
      </w:r>
    </w:p>
    <w:p>
      <w:pPr>
        <w:tabs>
          <w:tab w:pos="794" w:val="left"/>
        </w:tabs>
        <w:spacing w:after="60"/>
        <w:ind w:left="794" w:hanging="794"/>
      </w:pPr>
      <w:r>
        <w:rPr>
          <w:b/>
          <w:color w:val="0F2A44"/>
        </w:rPr>
        <w:t>4.6.2</w:t>
        <w:tab/>
      </w:r>
      <w:r>
        <w:rPr>
          <w:b w:val="0"/>
          <w:i w:val="0"/>
        </w:rPr>
        <w:t>Projects shall include a risk assessment at initiation and before go-live.</w:t>
      </w:r>
    </w:p>
    <w:p>
      <w:pPr>
        <w:keepNext/>
        <w:spacing w:after="40" w:before="160"/>
      </w:pPr>
      <w:r>
        <w:rPr>
          <w:b/>
          <w:i w:val="0"/>
          <w:color w:val="0E7C86"/>
          <w:sz w:val="23"/>
        </w:rPr>
        <w:t>4.7  Integration and culture</w:t>
      </w:r>
    </w:p>
    <w:p>
      <w:pPr>
        <w:tabs>
          <w:tab w:pos="794" w:val="left"/>
        </w:tabs>
        <w:spacing w:after="60"/>
        <w:ind w:left="794" w:hanging="794"/>
      </w:pPr>
      <w:r>
        <w:rPr>
          <w:b/>
          <w:color w:val="0F2A44"/>
        </w:rPr>
        <w:t>4.7.1</w:t>
        <w:tab/>
      </w:r>
      <w:r>
        <w:rPr>
          <w:b w:val="0"/>
          <w:i w:val="0"/>
        </w:rPr>
        <w:t>Risk assessments shall feed supplier due diligence, change approval, exception approval and the selection of controls.</w:t>
      </w:r>
    </w:p>
    <w:p>
      <w:pPr>
        <w:tabs>
          <w:tab w:pos="794" w:val="left"/>
        </w:tabs>
        <w:spacing w:after="60"/>
        <w:ind w:left="794" w:hanging="794"/>
      </w:pPr>
      <w:r>
        <w:rPr>
          <w:b/>
          <w:color w:val="0F2A44"/>
        </w:rPr>
        <w:t>4.7.2</w:t>
        <w:tab/>
      </w:r>
      <w:r>
        <w:rPr>
          <w:b w:val="0"/>
          <w:i w:val="0"/>
        </w:rPr>
        <w:t>Managers shall receive training on how to describe, score and own risks. Raising a risk is encouraged and is not treated as a failure.</w:t>
      </w:r>
    </w:p>
    <w:p>
      <w:pPr>
        <w:keepNext/>
        <w:spacing w:after="80" w:before="280"/>
        <w:pBdr>
          <w:bottom w:val="single" w:sz="6" w:space="2" w:color="0E7C86"/>
        </w:pBdr>
      </w:pPr>
      <w:r>
        <w:rPr>
          <w:b/>
          <w:i w:val="0"/>
          <w:color w:val="0F2A44"/>
          <w:sz w:val="28"/>
        </w:rPr>
        <w:t>5. Exceptions</w:t>
      </w:r>
    </w:p>
    <w:p>
      <w:pPr>
        <w:tabs>
          <w:tab w:pos="794" w:val="left"/>
        </w:tabs>
        <w:spacing w:after="60"/>
        <w:ind w:left="794" w:hanging="794"/>
      </w:pPr>
      <w:r>
        <w:rPr>
          <w:b/>
          <w:color w:val="0F2A44"/>
        </w:rPr>
        <w:t>5.1</w:t>
        <w:tab/>
      </w:r>
      <w:r>
        <w:rPr>
          <w:b w:val="0"/>
          <w:i w:val="0"/>
        </w:rPr>
        <w:t>A deviation from the method, such as a different scale for a specialist assessment, shall be agreed in advance with the Risk management function and documented.</w:t>
      </w:r>
    </w:p>
    <w:p>
      <w:pPr>
        <w:tabs>
          <w:tab w:pos="794" w:val="left"/>
        </w:tabs>
        <w:spacing w:after="60"/>
        <w:ind w:left="794" w:hanging="794"/>
      </w:pPr>
      <w:r>
        <w:rPr>
          <w:b/>
          <w:color w:val="0F2A44"/>
        </w:rPr>
        <w:t>5.2</w:t>
        <w:tab/>
      </w:r>
      <w:r>
        <w:rPr>
          <w:b w:val="0"/>
          <w:i w:val="0"/>
        </w:rPr>
        <w:t>Deadlines for treatment actions may be extended once by the risk owner, and again only with committee approval, with the reason recorded.</w:t>
      </w:r>
    </w:p>
    <w:p>
      <w:pPr>
        <w:keepNext/>
        <w:spacing w:after="80" w:before="280"/>
        <w:pBdr>
          <w:bottom w:val="single" w:sz="6" w:space="2" w:color="0E7C86"/>
        </w:pBdr>
      </w:pPr>
      <w:r>
        <w:rPr>
          <w:b/>
          <w:i w:val="0"/>
          <w:color w:val="0F2A44"/>
          <w:sz w:val="28"/>
        </w:rPr>
        <w:t>6. Compliance and enforcement</w:t>
      </w:r>
    </w:p>
    <w:p>
      <w:pPr>
        <w:tabs>
          <w:tab w:pos="794" w:val="left"/>
        </w:tabs>
        <w:spacing w:after="60"/>
        <w:ind w:left="794" w:hanging="794"/>
      </w:pPr>
      <w:r>
        <w:rPr>
          <w:b/>
          <w:color w:val="0F2A44"/>
        </w:rPr>
        <w:t>6.1</w:t>
        <w:tab/>
      </w:r>
      <w:r>
        <w:rPr>
          <w:b w:val="0"/>
          <w:i w:val="0"/>
        </w:rPr>
        <w:t>Failure to maintain owned risks, or to report known risks, is reported to the owner's executive sponsor.</w:t>
      </w:r>
    </w:p>
    <w:p>
      <w:pPr>
        <w:tabs>
          <w:tab w:pos="794" w:val="left"/>
        </w:tabs>
        <w:spacing w:after="60"/>
        <w:ind w:left="794" w:hanging="794"/>
      </w:pPr>
      <w:r>
        <w:rPr>
          <w:b/>
          <w:color w:val="0F2A44"/>
        </w:rPr>
        <w:t>6.2</w:t>
        <w:tab/>
      </w:r>
      <w:r>
        <w:rPr>
          <w:b w:val="0"/>
          <w:i w:val="0"/>
        </w:rPr>
        <w:t>Concealing or deliberately understating a risk is a conduct matter and may lead to disciplinary action.</w:t>
      </w:r>
    </w:p>
    <w:p>
      <w:pPr>
        <w:keepNext/>
        <w:spacing w:after="80" w:before="280"/>
        <w:pBdr>
          <w:bottom w:val="single" w:sz="6" w:space="2" w:color="0E7C86"/>
        </w:pBdr>
      </w:pPr>
      <w:r>
        <w:rPr>
          <w:b/>
          <w:i w:val="0"/>
          <w:color w:val="0F2A44"/>
          <w:sz w:val="28"/>
        </w:rPr>
        <w:t>7. Review and maintenance</w:t>
      </w:r>
    </w:p>
    <w:p>
      <w:pPr>
        <w:tabs>
          <w:tab w:pos="794" w:val="left"/>
        </w:tabs>
        <w:spacing w:after="60"/>
        <w:ind w:left="794" w:hanging="794"/>
      </w:pPr>
      <w:r>
        <w:rPr>
          <w:b/>
          <w:color w:val="0F2A44"/>
        </w:rPr>
        <w:t>7.1</w:t>
        <w:tab/>
      </w:r>
      <w:r>
        <w:rPr>
          <w:b w:val="0"/>
          <w:i w:val="0"/>
        </w:rPr>
        <w:t xml:space="preserve">This policy and the scoring scales shall be reviewed at least </w:t>
      </w:r>
      <w:r>
        <w:rPr>
          <w:b w:val="0"/>
          <w:i w:val="0"/>
          <w:highlight w:val="yellow"/>
        </w:rPr>
        <w:t>[annually]</w:t>
      </w:r>
      <w:r>
        <w:rPr>
          <w:b w:val="0"/>
          <w:i w:val="0"/>
        </w:rPr>
        <w:t>, and the risk appetite statement after any major change in strategy.</w:t>
      </w:r>
    </w:p>
    <w:p>
      <w:pPr>
        <w:tabs>
          <w:tab w:pos="794" w:val="left"/>
        </w:tabs>
        <w:spacing w:after="60"/>
        <w:ind w:left="794" w:hanging="794"/>
      </w:pPr>
      <w:r>
        <w:rPr>
          <w:b/>
          <w:color w:val="0F2A44"/>
        </w:rPr>
        <w:t>7.2</w:t>
        <w:tab/>
      </w:r>
      <w:r>
        <w:rPr>
          <w:b w:val="0"/>
          <w:i w:val="0"/>
        </w:rPr>
        <w:t xml:space="preserve">Internal audit shall test the register for completeness and accuracy at least once every </w:t>
      </w:r>
      <w:r>
        <w:rPr>
          <w:b w:val="0"/>
          <w:i w:val="0"/>
          <w:highlight w:val="yellow"/>
        </w:rPr>
        <w:t>[2 years]</w:t>
      </w:r>
      <w:r>
        <w:rPr>
          <w:b w:val="0"/>
          <w:i w:val="0"/>
        </w:rPr>
        <w:t>.</w:t>
      </w:r>
    </w:p>
    <w:p>
      <w:pPr>
        <w:keepNext/>
        <w:spacing w:after="80" w:before="280"/>
        <w:pBdr>
          <w:bottom w:val="single" w:sz="6" w:space="2" w:color="0E7C86"/>
        </w:pBdr>
      </w:pPr>
      <w:r>
        <w:rPr>
          <w:b/>
          <w:i w:val="0"/>
          <w:color w:val="0F2A44"/>
          <w:sz w:val="28"/>
        </w:rPr>
        <w:t>8. Related documents</w:t>
      </w:r>
    </w:p>
    <w:p>
      <w:pPr>
        <w:tabs>
          <w:tab w:pos="567" w:val="left"/>
        </w:tabs>
        <w:spacing w:after="40"/>
        <w:ind w:left="567" w:hanging="283"/>
      </w:pPr>
      <w:r>
        <w:t>•</w:t>
        <w:tab/>
      </w:r>
      <w:r>
        <w:rPr>
          <w:b w:val="0"/>
          <w:i w:val="0"/>
        </w:rPr>
        <w:t>Information Security Policy</w:t>
      </w:r>
    </w:p>
    <w:p>
      <w:pPr>
        <w:tabs>
          <w:tab w:pos="567" w:val="left"/>
        </w:tabs>
        <w:spacing w:after="40"/>
        <w:ind w:left="567" w:hanging="283"/>
      </w:pPr>
      <w:r>
        <w:t>•</w:t>
        <w:tab/>
      </w:r>
      <w:r>
        <w:rPr>
          <w:b w:val="0"/>
          <w:i w:val="0"/>
        </w:rPr>
        <w:t>Risk register and treatment plan</w:t>
      </w:r>
    </w:p>
    <w:p>
      <w:pPr>
        <w:tabs>
          <w:tab w:pos="567" w:val="left"/>
        </w:tabs>
        <w:spacing w:after="40"/>
        <w:ind w:left="567" w:hanging="283"/>
      </w:pPr>
      <w:r>
        <w:t>•</w:t>
        <w:tab/>
      </w:r>
      <w:r>
        <w:rPr>
          <w:b w:val="0"/>
          <w:i w:val="0"/>
        </w:rPr>
        <w:t>Risk appetite statement</w:t>
      </w:r>
    </w:p>
    <w:p>
      <w:pPr>
        <w:tabs>
          <w:tab w:pos="567" w:val="left"/>
        </w:tabs>
        <w:spacing w:after="40"/>
        <w:ind w:left="567" w:hanging="283"/>
      </w:pPr>
      <w:r>
        <w:t>•</w:t>
        <w:tab/>
      </w:r>
      <w:r>
        <w:rPr>
          <w:b w:val="0"/>
          <w:i w:val="0"/>
        </w:rPr>
        <w:t>Vendor (Third-Party) Management Policy</w:t>
      </w:r>
    </w:p>
    <w:p>
      <w:pPr>
        <w:tabs>
          <w:tab w:pos="567" w:val="left"/>
        </w:tabs>
        <w:spacing w:after="40"/>
        <w:ind w:left="567" w:hanging="283"/>
      </w:pPr>
      <w:r>
        <w:t>•</w:t>
        <w:tab/>
      </w:r>
      <w:r>
        <w:rPr>
          <w:b w:val="0"/>
          <w:i w:val="0"/>
        </w:rPr>
        <w:t>Change Management Procedure</w:t>
      </w:r>
    </w:p>
    <w:p>
      <w:pPr>
        <w:tabs>
          <w:tab w:pos="567" w:val="left"/>
        </w:tabs>
        <w:spacing w:after="40"/>
        <w:ind w:left="567" w:hanging="283"/>
      </w:pPr>
      <w:r>
        <w:t>•</w:t>
        <w:tab/>
      </w:r>
      <w:r>
        <w:rPr>
          <w:b w:val="0"/>
          <w:i w:val="0"/>
        </w:rPr>
        <w:t>Business impact analysis</w:t>
      </w:r>
    </w:p>
    <w:p>
      <w:pPr>
        <w:keepNext/>
        <w:spacing w:after="80" w:before="280"/>
        <w:pBdr>
          <w:bottom w:val="single" w:sz="6" w:space="2" w:color="0E7C86"/>
        </w:pBdr>
      </w:pPr>
      <w:r>
        <w:rPr>
          <w:b/>
          <w:i w:val="0"/>
          <w:color w:val="0F2A44"/>
          <w:sz w:val="28"/>
        </w:rPr>
        <w:t>9. Framework mapping</w:t>
      </w:r>
    </w:p>
    <w:p>
      <w:pPr>
        <w:spacing w:after="60" w:before="0"/>
      </w:pPr>
      <w:r>
        <w:rPr>
          <w:b w:val="0"/>
          <w:i/>
          <w:color w:val="5B6B7C"/>
          <w:sz w:val="19"/>
        </w:rPr>
        <w:t>For reference only. These identifiers point to areas of each framework that this document supports; it does not by itself demonstrate conformity. Check the current edition of each framework.</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2835"/>
        <w:gridCol w:w="6804"/>
      </w:tblGrid>
      <w:tr>
        <w:trPr>
          <w:tblHeader w:val="true"/>
          <w:cantSplit w:val="true"/>
        </w:trPr>
        <w:tc>
          <w:tcPr>
            <w:tcW w:type="dxa" w:w="2835"/>
            <w:shd w:val="clear" w:color="auto" w:fill="0F2A44"/>
          </w:tcPr>
          <w:p>
            <w:pPr>
              <w:spacing w:after="0"/>
            </w:pPr>
            <w:r/>
            <w:r>
              <w:rPr>
                <w:b/>
                <w:i w:val="0"/>
                <w:color w:val="FFFFFF"/>
                <w:sz w:val="19"/>
              </w:rPr>
              <w:t>Framework</w:t>
            </w:r>
          </w:p>
        </w:tc>
        <w:tc>
          <w:tcPr>
            <w:tcW w:type="dxa" w:w="6803"/>
            <w:shd w:val="clear" w:color="auto" w:fill="0F2A44"/>
          </w:tcPr>
          <w:p>
            <w:pPr>
              <w:spacing w:after="0"/>
            </w:pPr>
            <w:r/>
            <w:r>
              <w:rPr>
                <w:b/>
                <w:i w:val="0"/>
                <w:color w:val="FFFFFF"/>
                <w:sz w:val="19"/>
              </w:rPr>
              <w:t>Related references</w:t>
            </w:r>
          </w:p>
        </w:tc>
      </w:tr>
      <w:tr>
        <w:trPr>
          <w:cantSplit w:val="true"/>
        </w:trPr>
        <w:tc>
          <w:tcPr>
            <w:tcW w:type="dxa" w:w="2835"/>
          </w:tcPr>
          <w:p>
            <w:pPr>
              <w:spacing w:after="0"/>
            </w:pPr>
            <w:r/>
            <w:r>
              <w:rPr>
                <w:b w:val="0"/>
                <w:i w:val="0"/>
                <w:sz w:val="19"/>
              </w:rPr>
              <w:t>ISO/IEC 27001:2022</w:t>
            </w:r>
          </w:p>
        </w:tc>
        <w:tc>
          <w:tcPr>
            <w:tcW w:type="dxa" w:w="6803"/>
          </w:tcPr>
          <w:p>
            <w:pPr>
              <w:spacing w:after="0"/>
            </w:pPr>
            <w:r/>
            <w:r>
              <w:rPr>
                <w:b w:val="0"/>
                <w:i w:val="0"/>
                <w:sz w:val="19"/>
              </w:rPr>
              <w:t>Clauses 6.1.2, 6.1.3, 8.2, 8.3</w:t>
            </w:r>
          </w:p>
        </w:tc>
      </w:tr>
      <w:tr>
        <w:trPr>
          <w:cantSplit w:val="true"/>
        </w:trPr>
        <w:tc>
          <w:tcPr>
            <w:tcW w:type="dxa" w:w="2835"/>
          </w:tcPr>
          <w:p>
            <w:pPr>
              <w:spacing w:after="0"/>
            </w:pPr>
            <w:r/>
            <w:r>
              <w:rPr>
                <w:b w:val="0"/>
                <w:i w:val="0"/>
                <w:sz w:val="19"/>
              </w:rPr>
              <w:t>SOC 2 (2017 criteria)</w:t>
            </w:r>
          </w:p>
        </w:tc>
        <w:tc>
          <w:tcPr>
            <w:tcW w:type="dxa" w:w="6803"/>
          </w:tcPr>
          <w:p>
            <w:pPr>
              <w:spacing w:after="0"/>
            </w:pPr>
            <w:r/>
            <w:r>
              <w:rPr>
                <w:b w:val="0"/>
                <w:i w:val="0"/>
                <w:sz w:val="19"/>
              </w:rPr>
              <w:t>CC3.1, CC3.2, CC3.3, CC3.4, CC9.1</w:t>
            </w:r>
          </w:p>
        </w:tc>
      </w:tr>
      <w:tr>
        <w:trPr>
          <w:cantSplit w:val="true"/>
        </w:trPr>
        <w:tc>
          <w:tcPr>
            <w:tcW w:type="dxa" w:w="2835"/>
          </w:tcPr>
          <w:p>
            <w:pPr>
              <w:spacing w:after="0"/>
            </w:pPr>
            <w:r/>
            <w:r>
              <w:rPr>
                <w:b w:val="0"/>
                <w:i w:val="0"/>
                <w:sz w:val="19"/>
              </w:rPr>
              <w:t>NIST CSF 2.0</w:t>
            </w:r>
          </w:p>
        </w:tc>
        <w:tc>
          <w:tcPr>
            <w:tcW w:type="dxa" w:w="6803"/>
          </w:tcPr>
          <w:p>
            <w:pPr>
              <w:spacing w:after="0"/>
            </w:pPr>
            <w:r/>
            <w:r>
              <w:rPr>
                <w:b w:val="0"/>
                <w:i w:val="0"/>
                <w:sz w:val="19"/>
              </w:rPr>
              <w:t>GV.RM-01, GV.RM-02, ID.RA-05, ID.RA-06</w:t>
            </w:r>
          </w:p>
        </w:tc>
      </w:tr>
    </w:tbl>
    <w:p>
      <w:pPr>
        <w:spacing w:after="40"/>
      </w:pPr>
    </w:p>
    <w:p>
      <w:r>
        <w:br w:type="page"/>
      </w:r>
    </w:p>
    <w:p>
      <w:pPr>
        <w:keepNext/>
        <w:spacing w:after="80" w:before="280"/>
        <w:pBdr>
          <w:bottom w:val="single" w:sz="6" w:space="2" w:color="0E7C86"/>
        </w:pBdr>
      </w:pPr>
      <w:r>
        <w:rPr>
          <w:b/>
          <w:i w:val="0"/>
          <w:color w:val="0F2A44"/>
          <w:sz w:val="28"/>
        </w:rPr>
        <w:t>Appendix A. Evidence an auditor would typically request</w:t>
      </w:r>
    </w:p>
    <w:p>
      <w:pPr>
        <w:spacing w:after="80" w:before="0"/>
      </w:pPr>
      <w:r>
        <w:rPr>
          <w:b w:val="0"/>
          <w:i w:val="0"/>
        </w:rPr>
        <w:t>Keep this evidence ready and know where each item lives. Tailor the list to your systems and add the location and owner.</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4309"/>
        <w:gridCol w:w="3402"/>
        <w:gridCol w:w="1927"/>
      </w:tblGrid>
      <w:tr>
        <w:trPr>
          <w:tblHeader w:val="true"/>
          <w:cantSplit w:val="true"/>
        </w:trPr>
        <w:tc>
          <w:tcPr>
            <w:tcW w:type="dxa" w:w="4309"/>
            <w:shd w:val="clear" w:color="auto" w:fill="0F2A44"/>
          </w:tcPr>
          <w:p>
            <w:pPr>
              <w:spacing w:after="0"/>
            </w:pPr>
            <w:r/>
            <w:r>
              <w:rPr>
                <w:b/>
                <w:i w:val="0"/>
                <w:color w:val="FFFFFF"/>
                <w:sz w:val="19"/>
              </w:rPr>
              <w:t>Evidence</w:t>
            </w:r>
          </w:p>
        </w:tc>
        <w:tc>
          <w:tcPr>
            <w:tcW w:type="dxa" w:w="3402"/>
            <w:shd w:val="clear" w:color="auto" w:fill="0F2A44"/>
          </w:tcPr>
          <w:p>
            <w:pPr>
              <w:spacing w:after="0"/>
            </w:pPr>
            <w:r/>
            <w:r>
              <w:rPr>
                <w:b/>
                <w:i w:val="0"/>
                <w:color w:val="FFFFFF"/>
                <w:sz w:val="19"/>
              </w:rPr>
              <w:t>What it helps to show</w:t>
            </w:r>
          </w:p>
        </w:tc>
        <w:tc>
          <w:tcPr>
            <w:tcW w:type="dxa" w:w="1928"/>
            <w:shd w:val="clear" w:color="auto" w:fill="0F2A44"/>
          </w:tcPr>
          <w:p>
            <w:pPr>
              <w:spacing w:after="0"/>
            </w:pPr>
            <w:r/>
            <w:r>
              <w:rPr>
                <w:b/>
                <w:i w:val="0"/>
                <w:color w:val="FFFFFF"/>
                <w:sz w:val="19"/>
              </w:rPr>
              <w:t>Location / owner</w:t>
            </w:r>
          </w:p>
        </w:tc>
      </w:tr>
      <w:tr>
        <w:trPr>
          <w:cantSplit w:val="true"/>
        </w:trPr>
        <w:tc>
          <w:tcPr>
            <w:tcW w:type="dxa" w:w="4309"/>
          </w:tcPr>
          <w:p>
            <w:pPr>
              <w:spacing w:after="0"/>
            </w:pPr>
            <w:r/>
            <w:r>
              <w:rPr>
                <w:b w:val="0"/>
                <w:i w:val="0"/>
                <w:sz w:val="19"/>
              </w:rPr>
              <w:t>Approved risk appetite statement and the date approved</w:t>
            </w:r>
          </w:p>
        </w:tc>
        <w:tc>
          <w:tcPr>
            <w:tcW w:type="dxa" w:w="3402"/>
          </w:tcPr>
          <w:p>
            <w:pPr>
              <w:spacing w:after="0"/>
            </w:pPr>
            <w:r/>
            <w:r>
              <w:rPr>
                <w:b w:val="0"/>
                <w:i w:val="0"/>
                <w:sz w:val="19"/>
              </w:rPr>
              <w:t>Appetite is defined and endorsed by leadership</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Risk assessment methodology and scoring scales</w:t>
            </w:r>
          </w:p>
        </w:tc>
        <w:tc>
          <w:tcPr>
            <w:tcW w:type="dxa" w:w="3402"/>
          </w:tcPr>
          <w:p>
            <w:pPr>
              <w:spacing w:after="0"/>
            </w:pPr>
            <w:r/>
            <w:r>
              <w:rPr>
                <w:b w:val="0"/>
                <w:i w:val="0"/>
                <w:sz w:val="19"/>
              </w:rPr>
              <w:t>A consistent, documented method exists</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Risk register export showing owners, scores, treatments and last review dates</w:t>
            </w:r>
          </w:p>
        </w:tc>
        <w:tc>
          <w:tcPr>
            <w:tcW w:type="dxa" w:w="3402"/>
          </w:tcPr>
          <w:p>
            <w:pPr>
              <w:spacing w:after="0"/>
            </w:pPr>
            <w:r/>
            <w:r>
              <w:rPr>
                <w:b w:val="0"/>
                <w:i w:val="0"/>
                <w:sz w:val="19"/>
              </w:rPr>
              <w:t>Register is complete, owned and current</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Treatment plans with status, owners and due dates</w:t>
            </w:r>
          </w:p>
        </w:tc>
        <w:tc>
          <w:tcPr>
            <w:tcW w:type="dxa" w:w="3402"/>
          </w:tcPr>
          <w:p>
            <w:pPr>
              <w:spacing w:after="0"/>
            </w:pPr>
            <w:r/>
            <w:r>
              <w:rPr>
                <w:b w:val="0"/>
                <w:i w:val="0"/>
                <w:sz w:val="19"/>
              </w:rPr>
              <w:t>Actions are tracked to completion</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Signed risk acceptances with approver level and expiry</w:t>
            </w:r>
          </w:p>
        </w:tc>
        <w:tc>
          <w:tcPr>
            <w:tcW w:type="dxa" w:w="3402"/>
          </w:tcPr>
          <w:p>
            <w:pPr>
              <w:spacing w:after="0"/>
            </w:pPr>
            <w:r/>
            <w:r>
              <w:rPr>
                <w:b w:val="0"/>
                <w:i w:val="0"/>
                <w:sz w:val="19"/>
              </w:rPr>
              <w:t>Acceptance authority follows the policy</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Risk committee agendas, minutes and reports</w:t>
            </w:r>
          </w:p>
        </w:tc>
        <w:tc>
          <w:tcPr>
            <w:tcW w:type="dxa" w:w="3402"/>
          </w:tcPr>
          <w:p>
            <w:pPr>
              <w:spacing w:after="0"/>
            </w:pPr>
            <w:r/>
            <w:r>
              <w:rPr>
                <w:b w:val="0"/>
                <w:i w:val="0"/>
                <w:sz w:val="19"/>
              </w:rPr>
              <w:t>Leadership oversight is regular</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Key risk indicator reports and any threshold breach follow-up</w:t>
            </w:r>
          </w:p>
        </w:tc>
        <w:tc>
          <w:tcPr>
            <w:tcW w:type="dxa" w:w="3402"/>
          </w:tcPr>
          <w:p>
            <w:pPr>
              <w:spacing w:after="0"/>
            </w:pPr>
            <w:r/>
            <w:r>
              <w:rPr>
                <w:b w:val="0"/>
                <w:i w:val="0"/>
                <w:sz w:val="19"/>
              </w:rPr>
              <w:t>Risks are monitored between reviews</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Risk assessments linked to a sample of new projects, suppliers or changes</w:t>
            </w:r>
          </w:p>
        </w:tc>
        <w:tc>
          <w:tcPr>
            <w:tcW w:type="dxa" w:w="3402"/>
          </w:tcPr>
          <w:p>
            <w:pPr>
              <w:spacing w:after="0"/>
            </w:pPr>
            <w:r/>
            <w:r>
              <w:rPr>
                <w:b w:val="0"/>
                <w:i w:val="0"/>
                <w:sz w:val="19"/>
              </w:rPr>
              <w:t>Risk is built into decisions</w:t>
            </w:r>
          </w:p>
        </w:tc>
        <w:tc>
          <w:tcPr>
            <w:tcW w:type="dxa" w:w="1928"/>
          </w:tcPr>
          <w:p>
            <w:pPr>
              <w:spacing w:after="0"/>
            </w:pPr>
            <w:r/>
            <w:r>
              <w:rPr>
                <w:b w:val="0"/>
                <w:i w:val="0"/>
                <w:sz w:val="19"/>
                <w:highlight w:val="yellow"/>
              </w:rPr>
              <w:t>[location / owner]</w:t>
            </w:r>
          </w:p>
        </w:tc>
      </w:tr>
      <w:tr>
        <w:trPr>
          <w:cantSplit w:val="true"/>
        </w:trPr>
        <w:tc>
          <w:tcPr>
            <w:tcW w:type="dxa" w:w="4309"/>
          </w:tcPr>
          <w:p>
            <w:pPr>
              <w:spacing w:after="0"/>
            </w:pPr>
            <w:r/>
            <w:r>
              <w:rPr>
                <w:b w:val="0"/>
                <w:i w:val="0"/>
                <w:sz w:val="19"/>
              </w:rPr>
              <w:t>Audit or assurance report on the risk process</w:t>
            </w:r>
          </w:p>
        </w:tc>
        <w:tc>
          <w:tcPr>
            <w:tcW w:type="dxa" w:w="3402"/>
          </w:tcPr>
          <w:p>
            <w:pPr>
              <w:spacing w:after="0"/>
            </w:pPr>
            <w:r/>
            <w:r>
              <w:rPr>
                <w:b w:val="0"/>
                <w:i w:val="0"/>
                <w:sz w:val="19"/>
              </w:rPr>
              <w:t>The process is independently checked</w:t>
            </w:r>
          </w:p>
        </w:tc>
        <w:tc>
          <w:tcPr>
            <w:tcW w:type="dxa" w:w="1928"/>
          </w:tcPr>
          <w:p>
            <w:pPr>
              <w:spacing w:after="0"/>
            </w:pPr>
            <w:r/>
            <w:r>
              <w:rPr>
                <w:b w:val="0"/>
                <w:i w:val="0"/>
                <w:sz w:val="19"/>
                <w:highlight w:val="yellow"/>
              </w:rPr>
              <w:t>[location / owner]</w:t>
            </w:r>
          </w:p>
        </w:tc>
      </w:tr>
    </w:tbl>
    <w:p>
      <w:pPr>
        <w:spacing w:after="40"/>
      </w:pPr>
    </w:p>
    <w:p>
      <w:pPr>
        <w:keepNext/>
        <w:spacing w:after="80" w:before="280"/>
        <w:pBdr>
          <w:bottom w:val="single" w:sz="6" w:space="2" w:color="0E7C86"/>
        </w:pBdr>
      </w:pPr>
      <w:r>
        <w:rPr>
          <w:b/>
          <w:i w:val="0"/>
          <w:color w:val="0F2A44"/>
          <w:sz w:val="28"/>
        </w:rPr>
        <w:t>Appendix B. Scoring scales</w:t>
      </w:r>
    </w:p>
    <w:p>
      <w:pPr>
        <w:spacing w:after="80" w:before="0"/>
      </w:pPr>
      <w:r>
        <w:rPr>
          <w:b w:val="0"/>
          <w:i w:val="0"/>
        </w:rPr>
        <w:t xml:space="preserve">Replace the descriptors with measures that fit </w:t>
      </w:r>
      <w:r>
        <w:rPr>
          <w:b w:val="0"/>
          <w:i w:val="0"/>
          <w:highlight w:val="yellow"/>
        </w:rPr>
        <w:t>[Company Name]</w:t>
      </w:r>
      <w:r>
        <w:rPr>
          <w:b w:val="0"/>
          <w:i w:val="0"/>
        </w:rPr>
        <w:t>. Score = likelihood x impact. Suggested bands: 1-4 Low, 5-9 Medium, 10-16 High, 17-25 Critical.</w:t>
      </w:r>
    </w:p>
    <w:tbl>
      <w:tblPr>
        <w:tblW w:type="auto" w:w="0"/>
        <w:jc w:val="center"/>
        <w:tblLayout w:type="fixed"/>
        <w:tblLook w:firstColumn="1" w:firstRow="1" w:lastColumn="0" w:lastRow="0" w:noHBand="0" w:noVBand="1" w:val="04A0"/>
        <w:tblBorders>
          <w:top w:val="single" w:sz="4" w:space="0" w:color="B8C4CE"/>
          <w:left w:val="single" w:sz="4" w:space="0" w:color="B8C4CE"/>
          <w:bottom w:val="single" w:sz="4" w:space="0" w:color="B8C4CE"/>
          <w:right w:val="single" w:sz="4" w:space="0" w:color="B8C4CE"/>
          <w:insideH w:val="single" w:sz="4" w:space="0" w:color="B8C4CE"/>
          <w:insideV w:val="single" w:sz="4" w:space="0" w:color="B8C4CE"/>
        </w:tblBorders>
        <w:tblCellMar>
          <w:top w:w="60" w:type="dxa"/>
          <w:left w:w="100" w:type="dxa"/>
          <w:bottom w:w="60" w:type="dxa"/>
          <w:right w:w="100" w:type="dxa"/>
        </w:tblCellMar>
      </w:tblPr>
      <w:tblGrid>
        <w:gridCol w:w="1701"/>
        <w:gridCol w:w="3969"/>
        <w:gridCol w:w="3969"/>
      </w:tblGrid>
      <w:tr>
        <w:trPr>
          <w:tblHeader w:val="true"/>
          <w:cantSplit w:val="true"/>
        </w:trPr>
        <w:tc>
          <w:tcPr>
            <w:tcW w:type="dxa" w:w="1701"/>
            <w:shd w:val="clear" w:color="auto" w:fill="0F2A44"/>
          </w:tcPr>
          <w:p>
            <w:pPr>
              <w:spacing w:after="0"/>
            </w:pPr>
            <w:r/>
            <w:r>
              <w:rPr>
                <w:b/>
                <w:i w:val="0"/>
                <w:color w:val="FFFFFF"/>
                <w:sz w:val="19"/>
              </w:rPr>
              <w:t>Score</w:t>
            </w:r>
          </w:p>
        </w:tc>
        <w:tc>
          <w:tcPr>
            <w:tcW w:type="dxa" w:w="3969"/>
            <w:shd w:val="clear" w:color="auto" w:fill="0F2A44"/>
          </w:tcPr>
          <w:p>
            <w:pPr>
              <w:spacing w:after="0"/>
            </w:pPr>
            <w:r/>
            <w:r>
              <w:rPr>
                <w:b/>
                <w:i w:val="0"/>
                <w:color w:val="FFFFFF"/>
                <w:sz w:val="19"/>
              </w:rPr>
              <w:t>Likelihood</w:t>
            </w:r>
          </w:p>
        </w:tc>
        <w:tc>
          <w:tcPr>
            <w:tcW w:type="dxa" w:w="3969"/>
            <w:shd w:val="clear" w:color="auto" w:fill="0F2A44"/>
          </w:tcPr>
          <w:p>
            <w:pPr>
              <w:spacing w:after="0"/>
            </w:pPr>
            <w:r/>
            <w:r>
              <w:rPr>
                <w:b/>
                <w:i w:val="0"/>
                <w:color w:val="FFFFFF"/>
                <w:sz w:val="19"/>
              </w:rPr>
              <w:t>Impact (use the highest that applies)</w:t>
            </w:r>
          </w:p>
        </w:tc>
      </w:tr>
      <w:tr>
        <w:trPr>
          <w:cantSplit w:val="true"/>
        </w:trPr>
        <w:tc>
          <w:tcPr>
            <w:tcW w:type="dxa" w:w="1701"/>
          </w:tcPr>
          <w:p>
            <w:pPr>
              <w:spacing w:after="0"/>
            </w:pPr>
            <w:r/>
            <w:r>
              <w:rPr>
                <w:b w:val="0"/>
                <w:i w:val="0"/>
                <w:sz w:val="19"/>
              </w:rPr>
              <w:t>1</w:t>
            </w:r>
          </w:p>
        </w:tc>
        <w:tc>
          <w:tcPr>
            <w:tcW w:type="dxa" w:w="3969"/>
          </w:tcPr>
          <w:p>
            <w:pPr>
              <w:spacing w:after="0"/>
            </w:pPr>
            <w:r/>
            <w:r>
              <w:rPr>
                <w:b w:val="0"/>
                <w:i w:val="0"/>
                <w:sz w:val="19"/>
              </w:rPr>
              <w:t xml:space="preserve">Rare: not expected within </w:t>
            </w:r>
            <w:r>
              <w:rPr>
                <w:b w:val="0"/>
                <w:i w:val="0"/>
                <w:sz w:val="19"/>
                <w:highlight w:val="yellow"/>
              </w:rPr>
              <w:t>[5 years]</w:t>
            </w:r>
          </w:p>
        </w:tc>
        <w:tc>
          <w:tcPr>
            <w:tcW w:type="dxa" w:w="3969"/>
          </w:tcPr>
          <w:p>
            <w:pPr>
              <w:spacing w:after="0"/>
            </w:pPr>
            <w:r/>
            <w:r>
              <w:rPr>
                <w:b w:val="0"/>
                <w:i w:val="0"/>
                <w:sz w:val="19"/>
              </w:rPr>
              <w:t xml:space="preserve">Negligible: no customer effect, loss under </w:t>
            </w:r>
            <w:r>
              <w:rPr>
                <w:b w:val="0"/>
                <w:i w:val="0"/>
                <w:sz w:val="19"/>
                <w:highlight w:val="yellow"/>
              </w:rPr>
              <w:t>[amount]</w:t>
            </w:r>
            <w:r>
              <w:rPr>
                <w:b w:val="0"/>
                <w:i w:val="0"/>
                <w:sz w:val="19"/>
              </w:rPr>
              <w:t>, recovery within hours</w:t>
            </w:r>
          </w:p>
        </w:tc>
      </w:tr>
      <w:tr>
        <w:trPr>
          <w:cantSplit w:val="true"/>
        </w:trPr>
        <w:tc>
          <w:tcPr>
            <w:tcW w:type="dxa" w:w="1701"/>
          </w:tcPr>
          <w:p>
            <w:pPr>
              <w:spacing w:after="0"/>
            </w:pPr>
            <w:r/>
            <w:r>
              <w:rPr>
                <w:b w:val="0"/>
                <w:i w:val="0"/>
                <w:sz w:val="19"/>
              </w:rPr>
              <w:t>2</w:t>
            </w:r>
          </w:p>
        </w:tc>
        <w:tc>
          <w:tcPr>
            <w:tcW w:type="dxa" w:w="3969"/>
          </w:tcPr>
          <w:p>
            <w:pPr>
              <w:spacing w:after="0"/>
            </w:pPr>
            <w:r/>
            <w:r>
              <w:rPr>
                <w:b w:val="0"/>
                <w:i w:val="0"/>
                <w:sz w:val="19"/>
              </w:rPr>
              <w:t xml:space="preserve">Unlikely: possible within </w:t>
            </w:r>
            <w:r>
              <w:rPr>
                <w:b w:val="0"/>
                <w:i w:val="0"/>
                <w:sz w:val="19"/>
                <w:highlight w:val="yellow"/>
              </w:rPr>
              <w:t>[3 to 5 years]</w:t>
            </w:r>
          </w:p>
        </w:tc>
        <w:tc>
          <w:tcPr>
            <w:tcW w:type="dxa" w:w="3969"/>
          </w:tcPr>
          <w:p>
            <w:pPr>
              <w:spacing w:after="0"/>
            </w:pPr>
            <w:r/>
            <w:r>
              <w:rPr>
                <w:b w:val="0"/>
                <w:i w:val="0"/>
                <w:sz w:val="19"/>
              </w:rPr>
              <w:t xml:space="preserve">Minor: limited internal disruption, loss under </w:t>
            </w:r>
            <w:r>
              <w:rPr>
                <w:b w:val="0"/>
                <w:i w:val="0"/>
                <w:sz w:val="19"/>
                <w:highlight w:val="yellow"/>
              </w:rPr>
              <w:t>[amount]</w:t>
            </w:r>
            <w:r>
              <w:rPr>
                <w:b w:val="0"/>
                <w:i w:val="0"/>
                <w:sz w:val="19"/>
              </w:rPr>
              <w:t>, recovery within a day</w:t>
            </w:r>
          </w:p>
        </w:tc>
      </w:tr>
      <w:tr>
        <w:trPr>
          <w:cantSplit w:val="true"/>
        </w:trPr>
        <w:tc>
          <w:tcPr>
            <w:tcW w:type="dxa" w:w="1701"/>
          </w:tcPr>
          <w:p>
            <w:pPr>
              <w:spacing w:after="0"/>
            </w:pPr>
            <w:r/>
            <w:r>
              <w:rPr>
                <w:b w:val="0"/>
                <w:i w:val="0"/>
                <w:sz w:val="19"/>
              </w:rPr>
              <w:t>3</w:t>
            </w:r>
          </w:p>
        </w:tc>
        <w:tc>
          <w:tcPr>
            <w:tcW w:type="dxa" w:w="3969"/>
          </w:tcPr>
          <w:p>
            <w:pPr>
              <w:spacing w:after="0"/>
            </w:pPr>
            <w:r/>
            <w:r>
              <w:rPr>
                <w:b w:val="0"/>
                <w:i w:val="0"/>
                <w:sz w:val="19"/>
              </w:rPr>
              <w:t xml:space="preserve">Possible: may occur within </w:t>
            </w:r>
            <w:r>
              <w:rPr>
                <w:b w:val="0"/>
                <w:i w:val="0"/>
                <w:sz w:val="19"/>
                <w:highlight w:val="yellow"/>
              </w:rPr>
              <w:t>[1 to 3 years]</w:t>
            </w:r>
          </w:p>
        </w:tc>
        <w:tc>
          <w:tcPr>
            <w:tcW w:type="dxa" w:w="3969"/>
          </w:tcPr>
          <w:p>
            <w:pPr>
              <w:spacing w:after="0"/>
            </w:pPr>
            <w:r/>
            <w:r>
              <w:rPr>
                <w:b w:val="0"/>
                <w:i w:val="0"/>
                <w:sz w:val="19"/>
              </w:rPr>
              <w:t xml:space="preserve">Moderate: customer-visible disruption, loss under </w:t>
            </w:r>
            <w:r>
              <w:rPr>
                <w:b w:val="0"/>
                <w:i w:val="0"/>
                <w:sz w:val="19"/>
                <w:highlight w:val="yellow"/>
              </w:rPr>
              <w:t>[amount]</w:t>
            </w:r>
            <w:r>
              <w:rPr>
                <w:b w:val="0"/>
                <w:i w:val="0"/>
                <w:sz w:val="19"/>
              </w:rPr>
              <w:t>, reportable to a customer</w:t>
            </w:r>
          </w:p>
        </w:tc>
      </w:tr>
      <w:tr>
        <w:trPr>
          <w:cantSplit w:val="true"/>
        </w:trPr>
        <w:tc>
          <w:tcPr>
            <w:tcW w:type="dxa" w:w="1701"/>
          </w:tcPr>
          <w:p>
            <w:pPr>
              <w:spacing w:after="0"/>
            </w:pPr>
            <w:r/>
            <w:r>
              <w:rPr>
                <w:b w:val="0"/>
                <w:i w:val="0"/>
                <w:sz w:val="19"/>
              </w:rPr>
              <w:t>4</w:t>
            </w:r>
          </w:p>
        </w:tc>
        <w:tc>
          <w:tcPr>
            <w:tcW w:type="dxa" w:w="3969"/>
          </w:tcPr>
          <w:p>
            <w:pPr>
              <w:spacing w:after="0"/>
            </w:pPr>
            <w:r/>
            <w:r>
              <w:rPr>
                <w:b w:val="0"/>
                <w:i w:val="0"/>
                <w:sz w:val="19"/>
              </w:rPr>
              <w:t xml:space="preserve">Likely: expected within </w:t>
            </w:r>
            <w:r>
              <w:rPr>
                <w:b w:val="0"/>
                <w:i w:val="0"/>
                <w:sz w:val="19"/>
                <w:highlight w:val="yellow"/>
              </w:rPr>
              <w:t>[12 months]</w:t>
            </w:r>
          </w:p>
        </w:tc>
        <w:tc>
          <w:tcPr>
            <w:tcW w:type="dxa" w:w="3969"/>
          </w:tcPr>
          <w:p>
            <w:pPr>
              <w:spacing w:after="0"/>
            </w:pPr>
            <w:r/>
            <w:r>
              <w:rPr>
                <w:b w:val="0"/>
                <w:i w:val="0"/>
                <w:sz w:val="19"/>
              </w:rPr>
              <w:t>Major: sustained outage, material loss, regulator or contract breach</w:t>
            </w:r>
          </w:p>
        </w:tc>
      </w:tr>
      <w:tr>
        <w:trPr>
          <w:cantSplit w:val="true"/>
        </w:trPr>
        <w:tc>
          <w:tcPr>
            <w:tcW w:type="dxa" w:w="1701"/>
          </w:tcPr>
          <w:p>
            <w:pPr>
              <w:spacing w:after="0"/>
            </w:pPr>
            <w:r/>
            <w:r>
              <w:rPr>
                <w:b w:val="0"/>
                <w:i w:val="0"/>
                <w:sz w:val="19"/>
              </w:rPr>
              <w:t>5</w:t>
            </w:r>
          </w:p>
        </w:tc>
        <w:tc>
          <w:tcPr>
            <w:tcW w:type="dxa" w:w="3969"/>
          </w:tcPr>
          <w:p>
            <w:pPr>
              <w:spacing w:after="0"/>
            </w:pPr>
            <w:r/>
            <w:r>
              <w:rPr>
                <w:b w:val="0"/>
                <w:i w:val="0"/>
                <w:sz w:val="19"/>
              </w:rPr>
              <w:t>Almost certain: expected several times a year</w:t>
            </w:r>
          </w:p>
        </w:tc>
        <w:tc>
          <w:tcPr>
            <w:tcW w:type="dxa" w:w="3969"/>
          </w:tcPr>
          <w:p>
            <w:pPr>
              <w:spacing w:after="0"/>
            </w:pPr>
            <w:r/>
            <w:r>
              <w:rPr>
                <w:b w:val="0"/>
                <w:i w:val="0"/>
                <w:sz w:val="19"/>
              </w:rPr>
              <w:t>Severe: threat to viability, large-scale data exposure, licence or contract loss</w:t>
            </w:r>
          </w:p>
        </w:tc>
      </w:tr>
    </w:tbl>
    <w:p>
      <w:pPr>
        <w:spacing w:after="40"/>
      </w:pPr>
    </w:p>
    <w:p>
      <w:pPr>
        <w:spacing w:after="80" w:before="200"/>
      </w:pPr>
      <w:r>
        <w:rPr>
          <w:b w:val="0"/>
          <w:i/>
          <w:color w:val="5B6B7C"/>
          <w:sz w:val="18"/>
        </w:rPr>
        <w:t>Starting point to be adapted by the organisation to its own context. Not legal advice.</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color w:val="5B6B7C"/>
        <w:sz w:val="16"/>
      </w:rPr>
      <w:t xml:space="preserve">Starting point to be adapted by the organisation to its own context. Not legal advice.   Page </w:t>
    </w:r>
    <w:r>
      <w:rPr>
        <w:i/>
        <w:color w:val="5B6B7C"/>
        <w:sz w:val="16"/>
      </w:rPr>
      <w:fldChar w:fldCharType="begin"/>
    </w:r>
    <w:r>
      <w:rPr>
        <w:i/>
        <w:color w:val="5B6B7C"/>
        <w:sz w:val="16"/>
      </w:rPr>
      <w:instrText xml:space="preserve">PAGE</w:instrText>
    </w:r>
    <w:r>
      <w:rPr>
        <w:i/>
        <w:color w:val="5B6B7C"/>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i w:val="0"/>
        <w:color w:val="5B6B7C"/>
        <w:sz w:val="17"/>
        <w:highlight w:val="yellow"/>
      </w:rPr>
      <w:t>[Company Name]</w:t>
    </w:r>
    <w:r>
      <w:rPr>
        <w:b w:val="0"/>
        <w:i w:val="0"/>
        <w:color w:val="5B6B7C"/>
        <w:sz w:val="17"/>
      </w:rPr>
      <w:t xml:space="preserve">  |  Risk Management Policy  |  Version </w:t>
    </w:r>
    <w:r>
      <w:rPr>
        <w:b w:val="0"/>
        <w:i w:val="0"/>
        <w:color w:val="5B6B7C"/>
        <w:sz w:val="17"/>
        <w:highlight w:val="yellow"/>
      </w:rPr>
      <w:t>[1.0]</w:t>
    </w:r>
    <w:r>
      <w:rPr>
        <w:b w:val="0"/>
        <w:i w:val="0"/>
        <w:color w:val="5B6B7C"/>
        <w:sz w:val="17"/>
      </w:rPr>
      <w:t xml:space="preserve">  |  Classification </w:t>
    </w:r>
    <w:r>
      <w:rPr>
        <w:b w:val="0"/>
        <w:i w:val="0"/>
        <w:color w:val="5B6B7C"/>
        <w:sz w:val="17"/>
        <w:highlight w:val="yellow"/>
      </w:rPr>
      <w:t>[Internal]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Management Policy</dc:title>
  <dc:subject>Policy template</dc:subject>
  <dc:creator>GRC template</dc:creator>
  <cp:keywords>template</cp:keywords>
  <dc:description>Starting point to be adapted by the organisation to its own context. Not legal advice.</dc:description>
  <cp:lastModifiedBy>GRC template</cp:lastModifiedBy>
  <cp:revision>1</cp:revision>
  <dcterms:created xsi:type="dcterms:W3CDTF">2013-12-23T23:15:00Z</dcterms:created>
  <dcterms:modified xsi:type="dcterms:W3CDTF">2013-12-23T23:15:00Z</dcterms:modified>
  <cp:category/>
</cp:coreProperties>
</file>