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Information Security Policy</w:t>
      </w:r>
    </w:p>
    <w:p>
      <w:pPr>
        <w:spacing w:after="200" w:before="0"/>
      </w:pPr>
      <w:r>
        <w:rPr>
          <w:b w:val="0"/>
          <w:i w:val="0"/>
          <w:color w:val="5B6B7C"/>
          <w:sz w:val="21"/>
        </w:rPr>
        <w:t>Policy  |  Document ID POL-ISP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Information Security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POL-ISP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sets out how </w:t>
      </w:r>
      <w:r>
        <w:rPr>
          <w:b w:val="0"/>
          <w:i w:val="0"/>
          <w:highlight w:val="yellow"/>
        </w:rPr>
        <w:t>[Company Name]</w:t>
      </w:r>
      <w:r>
        <w:rPr>
          <w:b w:val="0"/>
          <w:i w:val="0"/>
        </w:rPr>
        <w:t xml:space="preserve"> protects the confidentiality, integrity and availability of the information it creates, receives and relies on. It records management's commitment, assigns accountability and defines the baseline behaviour expected of everyone who works with the organisation's information.</w:t>
      </w:r>
    </w:p>
    <w:p>
      <w:pPr>
        <w:spacing w:after="80" w:before="0"/>
      </w:pPr>
      <w:r>
        <w:rPr>
          <w:b w:val="0"/>
          <w:i w:val="0"/>
        </w:rPr>
        <w:t>It is the top-level document of the information security management framework. Topic-specific policies and procedures sit beneath it and may add detail but may not weaken it.</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All information held, processed or transmitted by or for </w:t>
      </w:r>
      <w:r>
        <w:rPr>
          <w:b w:val="0"/>
          <w:i w:val="0"/>
          <w:highlight w:val="yellow"/>
        </w:rPr>
        <w:t>[Company Name]</w:t>
      </w:r>
      <w:r>
        <w:rPr>
          <w:b w:val="0"/>
          <w:i w:val="0"/>
        </w:rPr>
        <w:t>, in any form: electronic, paper or spoken.</w:t>
      </w:r>
    </w:p>
    <w:p>
      <w:pPr>
        <w:tabs>
          <w:tab w:pos="567" w:val="left"/>
        </w:tabs>
        <w:spacing w:after="40"/>
        <w:ind w:left="567" w:hanging="283"/>
      </w:pPr>
      <w:r>
        <w:t>•</w:t>
        <w:tab/>
      </w:r>
      <w:r>
        <w:rPr>
          <w:b w:val="0"/>
          <w:i w:val="0"/>
        </w:rPr>
        <w:t xml:space="preserve">All employees, contractors, temporary workers, interns and any third party given access to </w:t>
      </w:r>
      <w:r>
        <w:rPr>
          <w:b w:val="0"/>
          <w:i w:val="0"/>
          <w:highlight w:val="yellow"/>
        </w:rPr>
        <w:t>[Company Name]</w:t>
      </w:r>
      <w:r>
        <w:rPr>
          <w:b w:val="0"/>
          <w:i w:val="0"/>
        </w:rPr>
        <w:t xml:space="preserve"> information or systems.</w:t>
      </w:r>
    </w:p>
    <w:p>
      <w:pPr>
        <w:tabs>
          <w:tab w:pos="567" w:val="left"/>
        </w:tabs>
        <w:spacing w:after="40"/>
        <w:ind w:left="567" w:hanging="283"/>
      </w:pPr>
      <w:r>
        <w:t>•</w:t>
        <w:tab/>
      </w:r>
      <w:r>
        <w:rPr>
          <w:b w:val="0"/>
          <w:i w:val="0"/>
        </w:rPr>
        <w:t>All systems and services used to handle that information, including cloud and third-party hosted services, and all locations from which they are used, including home and shared workspaces.</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Executive management</w:t>
            </w:r>
          </w:p>
        </w:tc>
        <w:tc>
          <w:tcPr>
            <w:tcW w:type="dxa" w:w="6803"/>
          </w:tcPr>
          <w:p>
            <w:pPr>
              <w:spacing w:after="0"/>
            </w:pPr>
            <w:r/>
            <w:r>
              <w:rPr>
                <w:b w:val="0"/>
                <w:i w:val="0"/>
                <w:sz w:val="19"/>
              </w:rPr>
              <w:t>Approves this policy, sets security objectives, provides budget and people, and takes part in the management review.</w:t>
            </w:r>
          </w:p>
        </w:tc>
      </w:tr>
      <w:tr>
        <w:trPr>
          <w:cantSplit w:val="true"/>
        </w:trPr>
        <w:tc>
          <w:tcPr>
            <w:tcW w:type="dxa" w:w="2835"/>
          </w:tcPr>
          <w:p>
            <w:pPr>
              <w:spacing w:after="0"/>
            </w:pPr>
            <w:r/>
            <w:r>
              <w:rPr>
                <w:b w:val="0"/>
                <w:i w:val="0"/>
                <w:sz w:val="19"/>
              </w:rPr>
              <w:t>Information Security Lead (</w:t>
            </w:r>
            <w:r>
              <w:rPr>
                <w:b w:val="0"/>
                <w:i w:val="0"/>
                <w:sz w:val="19"/>
                <w:highlight w:val="yellow"/>
              </w:rPr>
              <w:t>[Title]</w:t>
            </w:r>
            <w:r>
              <w:rPr>
                <w:b w:val="0"/>
                <w:i w:val="0"/>
                <w:sz w:val="19"/>
              </w:rPr>
              <w:t>)</w:t>
            </w:r>
          </w:p>
        </w:tc>
        <w:tc>
          <w:tcPr>
            <w:tcW w:type="dxa" w:w="6803"/>
          </w:tcPr>
          <w:p>
            <w:pPr>
              <w:spacing w:after="0"/>
            </w:pPr>
            <w:r/>
            <w:r>
              <w:rPr>
                <w:b w:val="0"/>
                <w:i w:val="0"/>
                <w:sz w:val="19"/>
              </w:rPr>
              <w:t>Owns this policy and the framework beneath it, reports security posture to executive management, and coordinates risk treatment.</w:t>
            </w:r>
          </w:p>
        </w:tc>
      </w:tr>
      <w:tr>
        <w:trPr>
          <w:cantSplit w:val="true"/>
        </w:trPr>
        <w:tc>
          <w:tcPr>
            <w:tcW w:type="dxa" w:w="2835"/>
          </w:tcPr>
          <w:p>
            <w:pPr>
              <w:spacing w:after="0"/>
            </w:pPr>
            <w:r/>
            <w:r>
              <w:rPr>
                <w:b w:val="0"/>
                <w:i w:val="0"/>
                <w:sz w:val="19"/>
              </w:rPr>
              <w:t>Information and asset owners</w:t>
            </w:r>
          </w:p>
        </w:tc>
        <w:tc>
          <w:tcPr>
            <w:tcW w:type="dxa" w:w="6803"/>
          </w:tcPr>
          <w:p>
            <w:pPr>
              <w:spacing w:after="0"/>
            </w:pPr>
            <w:r/>
            <w:r>
              <w:rPr>
                <w:b w:val="0"/>
                <w:i w:val="0"/>
                <w:sz w:val="19"/>
              </w:rPr>
              <w:t>Classify the information they own, approve access to it and accept residual risk for their area.</w:t>
            </w:r>
          </w:p>
        </w:tc>
      </w:tr>
      <w:tr>
        <w:trPr>
          <w:cantSplit w:val="true"/>
        </w:trPr>
        <w:tc>
          <w:tcPr>
            <w:tcW w:type="dxa" w:w="2835"/>
          </w:tcPr>
          <w:p>
            <w:pPr>
              <w:spacing w:after="0"/>
            </w:pPr>
            <w:r/>
            <w:r>
              <w:rPr>
                <w:b w:val="0"/>
                <w:i w:val="0"/>
                <w:sz w:val="19"/>
              </w:rPr>
              <w:t>IT and Engineering</w:t>
            </w:r>
          </w:p>
        </w:tc>
        <w:tc>
          <w:tcPr>
            <w:tcW w:type="dxa" w:w="6803"/>
          </w:tcPr>
          <w:p>
            <w:pPr>
              <w:spacing w:after="0"/>
            </w:pPr>
            <w:r/>
            <w:r>
              <w:rPr>
                <w:b w:val="0"/>
                <w:i w:val="0"/>
                <w:sz w:val="19"/>
              </w:rPr>
              <w:t>Implement and operate technical controls to the standards that support this policy.</w:t>
            </w:r>
          </w:p>
        </w:tc>
      </w:tr>
      <w:tr>
        <w:trPr>
          <w:cantSplit w:val="true"/>
        </w:trPr>
        <w:tc>
          <w:tcPr>
            <w:tcW w:type="dxa" w:w="2835"/>
          </w:tcPr>
          <w:p>
            <w:pPr>
              <w:spacing w:after="0"/>
            </w:pPr>
            <w:r/>
            <w:r>
              <w:rPr>
                <w:b w:val="0"/>
                <w:i w:val="0"/>
                <w:sz w:val="19"/>
              </w:rPr>
              <w:t>People / HR</w:t>
            </w:r>
          </w:p>
        </w:tc>
        <w:tc>
          <w:tcPr>
            <w:tcW w:type="dxa" w:w="6803"/>
          </w:tcPr>
          <w:p>
            <w:pPr>
              <w:spacing w:after="0"/>
            </w:pPr>
            <w:r/>
            <w:r>
              <w:rPr>
                <w:b w:val="0"/>
                <w:i w:val="0"/>
                <w:sz w:val="19"/>
              </w:rPr>
              <w:t>Runs screening, onboarding and leaving checks, records policy acceptance and supports disciplinary action.</w:t>
            </w:r>
          </w:p>
        </w:tc>
      </w:tr>
      <w:tr>
        <w:trPr>
          <w:cantSplit w:val="true"/>
        </w:trPr>
        <w:tc>
          <w:tcPr>
            <w:tcW w:type="dxa" w:w="2835"/>
          </w:tcPr>
          <w:p>
            <w:pPr>
              <w:spacing w:after="0"/>
            </w:pPr>
            <w:r/>
            <w:r>
              <w:rPr>
                <w:b w:val="0"/>
                <w:i w:val="0"/>
                <w:sz w:val="19"/>
              </w:rPr>
              <w:t>All personnel</w:t>
            </w:r>
          </w:p>
        </w:tc>
        <w:tc>
          <w:tcPr>
            <w:tcW w:type="dxa" w:w="6803"/>
          </w:tcPr>
          <w:p>
            <w:pPr>
              <w:spacing w:after="0"/>
            </w:pPr>
            <w:r/>
            <w:r>
              <w:rPr>
                <w:b w:val="0"/>
                <w:i w:val="0"/>
                <w:sz w:val="19"/>
              </w:rPr>
              <w:t>Read and follow this policy, complete training on time and report suspected events immediately.</w:t>
            </w:r>
          </w:p>
        </w:tc>
      </w:tr>
      <w:tr>
        <w:trPr>
          <w:cantSplit w:val="true"/>
        </w:trPr>
        <w:tc>
          <w:tcPr>
            <w:tcW w:type="dxa" w:w="2835"/>
          </w:tcPr>
          <w:p>
            <w:pPr>
              <w:spacing w:after="0"/>
            </w:pPr>
            <w:r/>
            <w:r>
              <w:rPr>
                <w:b w:val="0"/>
                <w:i w:val="0"/>
                <w:sz w:val="19"/>
              </w:rPr>
              <w:t>Compliance / internal audit</w:t>
            </w:r>
          </w:p>
        </w:tc>
        <w:tc>
          <w:tcPr>
            <w:tcW w:type="dxa" w:w="6803"/>
          </w:tcPr>
          <w:p>
            <w:pPr>
              <w:spacing w:after="0"/>
            </w:pPr>
            <w:r/>
            <w:r>
              <w:rPr>
                <w:b w:val="0"/>
                <w:i w:val="0"/>
                <w:sz w:val="19"/>
              </w:rPr>
              <w:t>Gives independent assurance that the framework is designed and operating as described.</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Governance and direction</w:t>
      </w:r>
    </w:p>
    <w:p>
      <w:pPr>
        <w:tabs>
          <w:tab w:pos="794" w:val="left"/>
        </w:tabs>
        <w:spacing w:after="60"/>
        <w:ind w:left="794" w:hanging="794"/>
      </w:pPr>
      <w:r>
        <w:rPr>
          <w:b/>
          <w:color w:val="0F2A44"/>
        </w:rPr>
        <w:t>4.1.1</w:t>
        <w:tab/>
      </w:r>
      <w:r>
        <w:rPr>
          <w:b w:val="0"/>
          <w:i w:val="0"/>
        </w:rPr>
        <w:t xml:space="preserve">Executive management shall set information security objectives that are measurable, consistent with business strategy and reviewed at least </w:t>
      </w:r>
      <w:r>
        <w:rPr>
          <w:b w:val="0"/>
          <w:i w:val="0"/>
          <w:highlight w:val="yellow"/>
        </w:rPr>
        <w:t>[annually]</w:t>
      </w:r>
      <w:r>
        <w:rPr>
          <w:b w:val="0"/>
          <w:i w:val="0"/>
        </w:rPr>
        <w:t>.</w:t>
      </w:r>
    </w:p>
    <w:p>
      <w:pPr>
        <w:tabs>
          <w:tab w:pos="794" w:val="left"/>
        </w:tabs>
        <w:spacing w:after="60"/>
        <w:ind w:left="794" w:hanging="794"/>
      </w:pPr>
      <w:r>
        <w:rPr>
          <w:b/>
          <w:color w:val="0F2A44"/>
        </w:rPr>
        <w:t>4.1.2</w:t>
        <w:tab/>
      </w:r>
      <w:r>
        <w:rPr>
          <w:b w:val="0"/>
          <w:i w:val="0"/>
        </w:rPr>
        <w:t>A named executive shall be accountable for information security. The accountable executive and the Information Security Lead shall be recorded in the document control table of this policy.</w:t>
      </w:r>
    </w:p>
    <w:p>
      <w:pPr>
        <w:tabs>
          <w:tab w:pos="794" w:val="left"/>
        </w:tabs>
        <w:spacing w:after="60"/>
        <w:ind w:left="794" w:hanging="794"/>
      </w:pPr>
      <w:r>
        <w:rPr>
          <w:b/>
          <w:color w:val="0F2A44"/>
        </w:rPr>
        <w:t>4.1.3</w:t>
        <w:tab/>
      </w:r>
      <w:r>
        <w:rPr>
          <w:b w:val="0"/>
          <w:i w:val="0"/>
        </w:rPr>
        <w:t>Supporting policies and procedures shall each have an owner, a version and an approver, and shall be listed in a controlled register.</w:t>
      </w:r>
    </w:p>
    <w:p>
      <w:pPr>
        <w:tabs>
          <w:tab w:pos="794" w:val="left"/>
        </w:tabs>
        <w:spacing w:after="60"/>
        <w:ind w:left="794" w:hanging="794"/>
      </w:pPr>
      <w:r>
        <w:rPr>
          <w:b/>
          <w:color w:val="0F2A44"/>
        </w:rPr>
        <w:t>4.1.4</w:t>
        <w:tab/>
      </w:r>
      <w:r>
        <w:rPr>
          <w:b w:val="0"/>
          <w:i w:val="0"/>
        </w:rPr>
        <w:t xml:space="preserve">Executive management shall review the framework at least </w:t>
      </w:r>
      <w:r>
        <w:rPr>
          <w:b w:val="0"/>
          <w:i w:val="0"/>
          <w:highlight w:val="yellow"/>
        </w:rPr>
        <w:t>[annually]</w:t>
      </w:r>
      <w:r>
        <w:rPr>
          <w:b w:val="0"/>
          <w:i w:val="0"/>
        </w:rPr>
        <w:t>, using audit results, incident trends, risk treatment status, metrics and changes in the business or its obligations as inputs. Minutes and decisions shall be retained.</w:t>
      </w:r>
    </w:p>
    <w:p>
      <w:pPr>
        <w:keepNext/>
        <w:spacing w:after="40" w:before="160"/>
      </w:pPr>
      <w:r>
        <w:rPr>
          <w:b/>
          <w:i w:val="0"/>
          <w:color w:val="0E7C86"/>
          <w:sz w:val="23"/>
        </w:rPr>
        <w:t>4.2  Risk-based control selection</w:t>
      </w:r>
    </w:p>
    <w:p>
      <w:pPr>
        <w:tabs>
          <w:tab w:pos="794" w:val="left"/>
        </w:tabs>
        <w:spacing w:after="60"/>
        <w:ind w:left="794" w:hanging="794"/>
      </w:pPr>
      <w:r>
        <w:rPr>
          <w:b/>
          <w:color w:val="0F2A44"/>
        </w:rPr>
        <w:t>4.2.1</w:t>
        <w:tab/>
      </w:r>
      <w:r>
        <w:rPr>
          <w:b w:val="0"/>
          <w:i w:val="0"/>
        </w:rPr>
        <w:t>Information security risks shall be identified, analysed and evaluated using the method in the Risk Management Policy.</w:t>
      </w:r>
    </w:p>
    <w:p>
      <w:pPr>
        <w:tabs>
          <w:tab w:pos="794" w:val="left"/>
        </w:tabs>
        <w:spacing w:after="60"/>
        <w:ind w:left="794" w:hanging="794"/>
      </w:pPr>
      <w:r>
        <w:rPr>
          <w:b/>
          <w:color w:val="0F2A44"/>
        </w:rPr>
        <w:t>4.2.2</w:t>
        <w:tab/>
      </w:r>
      <w:r>
        <w:rPr>
          <w:b w:val="0"/>
          <w:i w:val="0"/>
        </w:rPr>
        <w:t xml:space="preserve">Controls shall be proportionate to risk and recorded in a </w:t>
      </w:r>
      <w:r>
        <w:rPr>
          <w:b w:val="0"/>
          <w:i w:val="0"/>
          <w:highlight w:val="yellow"/>
        </w:rPr>
        <w:t>[statement of applicability or control register]</w:t>
      </w:r>
      <w:r>
        <w:rPr>
          <w:b w:val="0"/>
          <w:i w:val="0"/>
        </w:rPr>
        <w:t>, with a written reason for each control considered and not applied.</w:t>
      </w:r>
    </w:p>
    <w:p>
      <w:pPr>
        <w:tabs>
          <w:tab w:pos="794" w:val="left"/>
        </w:tabs>
        <w:spacing w:after="60"/>
        <w:ind w:left="794" w:hanging="794"/>
      </w:pPr>
      <w:r>
        <w:rPr>
          <w:b/>
          <w:color w:val="0F2A44"/>
        </w:rPr>
        <w:t>4.2.3</w:t>
        <w:tab/>
      </w:r>
      <w:r>
        <w:rPr>
          <w:b w:val="0"/>
          <w:i w:val="0"/>
        </w:rPr>
        <w:t>Residual risk above the stated appetite shall be accepted only in writing by a named executive, for a stated period.</w:t>
      </w:r>
    </w:p>
    <w:p>
      <w:pPr>
        <w:keepNext/>
        <w:spacing w:after="40" w:before="160"/>
      </w:pPr>
      <w:r>
        <w:rPr>
          <w:b/>
          <w:i w:val="0"/>
          <w:color w:val="0E7C86"/>
          <w:sz w:val="23"/>
        </w:rPr>
        <w:t>4.3  Information and asset management</w:t>
      </w:r>
    </w:p>
    <w:p>
      <w:pPr>
        <w:tabs>
          <w:tab w:pos="794" w:val="left"/>
        </w:tabs>
        <w:spacing w:after="60"/>
        <w:ind w:left="794" w:hanging="794"/>
      </w:pPr>
      <w:r>
        <w:rPr>
          <w:b/>
          <w:color w:val="0F2A44"/>
        </w:rPr>
        <w:t>4.3.1</w:t>
        <w:tab/>
      </w:r>
      <w:r>
        <w:rPr>
          <w:b w:val="0"/>
          <w:i w:val="0"/>
        </w:rPr>
        <w:t xml:space="preserve">Information assets shall be inventoried, each with a named owner, and the inventory reviewed at least </w:t>
      </w:r>
      <w:r>
        <w:rPr>
          <w:b w:val="0"/>
          <w:i w:val="0"/>
          <w:highlight w:val="yellow"/>
        </w:rPr>
        <w:t>[twice a year]</w:t>
      </w:r>
      <w:r>
        <w:rPr>
          <w:b w:val="0"/>
          <w:i w:val="0"/>
        </w:rPr>
        <w:t>.</w:t>
      </w:r>
    </w:p>
    <w:p>
      <w:pPr>
        <w:tabs>
          <w:tab w:pos="794" w:val="left"/>
        </w:tabs>
        <w:spacing w:after="60"/>
        <w:ind w:left="794" w:hanging="794"/>
      </w:pPr>
      <w:r>
        <w:rPr>
          <w:b/>
          <w:color w:val="0F2A44"/>
        </w:rPr>
        <w:t>4.3.2</w:t>
        <w:tab/>
      </w:r>
      <w:r>
        <w:rPr>
          <w:b w:val="0"/>
          <w:i w:val="0"/>
        </w:rPr>
        <w:t xml:space="preserve">Information shall be classified as </w:t>
      </w:r>
      <w:r>
        <w:rPr>
          <w:b w:val="0"/>
          <w:i w:val="0"/>
          <w:highlight w:val="yellow"/>
        </w:rPr>
        <w:t>[Public, Internal, Confidential or Restricted]</w:t>
      </w:r>
      <w:r>
        <w:rPr>
          <w:b w:val="0"/>
          <w:i w:val="0"/>
        </w:rPr>
        <w:t>. The classification determines labelling, storage, sharing, encryption and disposal requirements.</w:t>
      </w:r>
    </w:p>
    <w:p>
      <w:pPr>
        <w:tabs>
          <w:tab w:pos="794" w:val="left"/>
        </w:tabs>
        <w:spacing w:after="60"/>
        <w:ind w:left="794" w:hanging="794"/>
      </w:pPr>
      <w:r>
        <w:rPr>
          <w:b/>
          <w:color w:val="0F2A44"/>
        </w:rPr>
        <w:t>4.3.3</w:t>
        <w:tab/>
      </w:r>
      <w:r>
        <w:rPr>
          <w:b w:val="0"/>
          <w:i w:val="0"/>
        </w:rPr>
        <w:t>Information shall be retained only as long as a business, legal or contractual reason requires, then securely destroyed.</w:t>
      </w:r>
    </w:p>
    <w:p>
      <w:pPr>
        <w:keepNext/>
        <w:spacing w:after="40" w:before="160"/>
      </w:pPr>
      <w:r>
        <w:rPr>
          <w:b/>
          <w:i w:val="0"/>
          <w:color w:val="0E7C86"/>
          <w:sz w:val="23"/>
        </w:rPr>
        <w:t>4.4  People</w:t>
      </w:r>
    </w:p>
    <w:p>
      <w:pPr>
        <w:tabs>
          <w:tab w:pos="794" w:val="left"/>
        </w:tabs>
        <w:spacing w:after="60"/>
        <w:ind w:left="794" w:hanging="794"/>
      </w:pPr>
      <w:r>
        <w:rPr>
          <w:b/>
          <w:color w:val="0F2A44"/>
        </w:rPr>
        <w:t>4.4.1</w:t>
        <w:tab/>
      </w:r>
      <w:r>
        <w:rPr>
          <w:b w:val="0"/>
          <w:i w:val="0"/>
        </w:rPr>
        <w:t>Background verification proportionate to the role shall be completed before access to Confidential or Restricted information is granted, where the law allows.</w:t>
      </w:r>
    </w:p>
    <w:p>
      <w:pPr>
        <w:tabs>
          <w:tab w:pos="794" w:val="left"/>
        </w:tabs>
        <w:spacing w:after="60"/>
        <w:ind w:left="794" w:hanging="794"/>
      </w:pPr>
      <w:r>
        <w:rPr>
          <w:b/>
          <w:color w:val="0F2A44"/>
        </w:rPr>
        <w:t>4.4.2</w:t>
        <w:tab/>
      </w:r>
      <w:r>
        <w:rPr>
          <w:b w:val="0"/>
          <w:i w:val="0"/>
        </w:rPr>
        <w:t>Employment and contractor terms shall include confidentiality obligations and acceptance of this policy.</w:t>
      </w:r>
    </w:p>
    <w:p>
      <w:pPr>
        <w:tabs>
          <w:tab w:pos="794" w:val="left"/>
        </w:tabs>
        <w:spacing w:after="60"/>
        <w:ind w:left="794" w:hanging="794"/>
      </w:pPr>
      <w:r>
        <w:rPr>
          <w:b/>
          <w:color w:val="0F2A44"/>
        </w:rPr>
        <w:t>4.4.3</w:t>
        <w:tab/>
      </w:r>
      <w:r>
        <w:rPr>
          <w:b w:val="0"/>
          <w:i w:val="0"/>
        </w:rPr>
        <w:t xml:space="preserve">Security awareness training shall be completed on joining and at least </w:t>
      </w:r>
      <w:r>
        <w:rPr>
          <w:b w:val="0"/>
          <w:i w:val="0"/>
          <w:highlight w:val="yellow"/>
        </w:rPr>
        <w:t>[annually]</w:t>
      </w:r>
      <w:r>
        <w:rPr>
          <w:b w:val="0"/>
          <w:i w:val="0"/>
        </w:rPr>
        <w:t>, with additional role-based training for administrators, developers and anyone handling Restricted information.</w:t>
      </w:r>
    </w:p>
    <w:p>
      <w:pPr>
        <w:tabs>
          <w:tab w:pos="794" w:val="left"/>
        </w:tabs>
        <w:spacing w:after="60"/>
        <w:ind w:left="794" w:hanging="794"/>
      </w:pPr>
      <w:r>
        <w:rPr>
          <w:b/>
          <w:color w:val="0F2A44"/>
        </w:rPr>
        <w:t>4.4.4</w:t>
        <w:tab/>
      </w:r>
      <w:r>
        <w:rPr>
          <w:b w:val="0"/>
          <w:i w:val="0"/>
        </w:rPr>
        <w:t>Access and company assets shall be withdrawn at the end of employment or engagement. Confidentiality obligations continue after leaving.</w:t>
      </w:r>
    </w:p>
    <w:p>
      <w:pPr>
        <w:keepNext/>
        <w:spacing w:after="40" w:before="160"/>
      </w:pPr>
      <w:r>
        <w:rPr>
          <w:b/>
          <w:i w:val="0"/>
          <w:color w:val="0E7C86"/>
          <w:sz w:val="23"/>
        </w:rPr>
        <w:t>4.5  Technical and operational security</w:t>
      </w:r>
    </w:p>
    <w:p>
      <w:pPr>
        <w:tabs>
          <w:tab w:pos="794" w:val="left"/>
        </w:tabs>
        <w:spacing w:after="60"/>
        <w:ind w:left="794" w:hanging="794"/>
      </w:pPr>
      <w:r>
        <w:rPr>
          <w:b/>
          <w:color w:val="0F2A44"/>
        </w:rPr>
        <w:t>4.5.1</w:t>
        <w:tab/>
      </w:r>
      <w:r>
        <w:rPr>
          <w:b w:val="0"/>
          <w:i w:val="0"/>
        </w:rPr>
        <w:t>Systems shall be built to a documented secure baseline and kept supported, patched and monitored; patch timeframes by severity are set in the Vulnerability Management Standard.</w:t>
      </w:r>
    </w:p>
    <w:p>
      <w:pPr>
        <w:tabs>
          <w:tab w:pos="794" w:val="left"/>
        </w:tabs>
        <w:spacing w:after="60"/>
        <w:ind w:left="794" w:hanging="794"/>
      </w:pPr>
      <w:r>
        <w:rPr>
          <w:b/>
          <w:color w:val="0F2A44"/>
        </w:rPr>
        <w:t>4.5.2</w:t>
        <w:tab/>
      </w:r>
      <w:r>
        <w:rPr>
          <w:b w:val="0"/>
          <w:i w:val="0"/>
        </w:rPr>
        <w:t xml:space="preserve">Security-relevant events shall be logged centrally, protected from alteration and retained for </w:t>
      </w:r>
      <w:r>
        <w:rPr>
          <w:b w:val="0"/>
          <w:i w:val="0"/>
          <w:highlight w:val="yellow"/>
        </w:rPr>
        <w:t>[12 months]</w:t>
      </w:r>
      <w:r>
        <w:rPr>
          <w:b w:val="0"/>
          <w:i w:val="0"/>
        </w:rPr>
        <w:t>.</w:t>
      </w:r>
    </w:p>
    <w:p>
      <w:pPr>
        <w:tabs>
          <w:tab w:pos="794" w:val="left"/>
        </w:tabs>
        <w:spacing w:after="60"/>
        <w:ind w:left="794" w:hanging="794"/>
      </w:pPr>
      <w:r>
        <w:rPr>
          <w:b/>
          <w:color w:val="0F2A44"/>
        </w:rPr>
        <w:t>4.5.3</w:t>
        <w:tab/>
      </w:r>
      <w:r>
        <w:rPr>
          <w:b w:val="0"/>
          <w:i w:val="0"/>
        </w:rPr>
        <w:t>Confidential and Restricted information shall be encrypted in transit and at rest using approved algorithms and managed keys.</w:t>
      </w:r>
    </w:p>
    <w:p>
      <w:pPr>
        <w:tabs>
          <w:tab w:pos="794" w:val="left"/>
        </w:tabs>
        <w:spacing w:after="60"/>
        <w:ind w:left="794" w:hanging="794"/>
      </w:pPr>
      <w:r>
        <w:rPr>
          <w:b/>
          <w:color w:val="0F2A44"/>
        </w:rPr>
        <w:t>4.5.4</w:t>
        <w:tab/>
      </w:r>
      <w:r>
        <w:rPr>
          <w:b w:val="0"/>
          <w:i w:val="0"/>
        </w:rPr>
        <w:t>Software developed in-house shall follow a secure development lifecycle that includes code review, dependency checks and separation of test and production data.</w:t>
      </w:r>
    </w:p>
    <w:p>
      <w:pPr>
        <w:tabs>
          <w:tab w:pos="794" w:val="left"/>
        </w:tabs>
        <w:spacing w:after="60"/>
        <w:ind w:left="794" w:hanging="794"/>
      </w:pPr>
      <w:r>
        <w:rPr>
          <w:b/>
          <w:color w:val="0F2A44"/>
        </w:rPr>
        <w:t>4.5.5</w:t>
        <w:tab/>
      </w:r>
      <w:r>
        <w:rPr>
          <w:b w:val="0"/>
          <w:i w:val="0"/>
        </w:rPr>
        <w:t>Networks shall be segmented so that a compromise of one zone does not give open access to others.</w:t>
      </w:r>
    </w:p>
    <w:p>
      <w:pPr>
        <w:keepNext/>
        <w:spacing w:after="40" w:before="160"/>
      </w:pPr>
      <w:r>
        <w:rPr>
          <w:b/>
          <w:i w:val="0"/>
          <w:color w:val="0E7C86"/>
          <w:sz w:val="23"/>
        </w:rPr>
        <w:t>4.6  Physical and environmental security</w:t>
      </w:r>
    </w:p>
    <w:p>
      <w:pPr>
        <w:tabs>
          <w:tab w:pos="794" w:val="left"/>
        </w:tabs>
        <w:spacing w:after="60"/>
        <w:ind w:left="794" w:hanging="794"/>
      </w:pPr>
      <w:r>
        <w:rPr>
          <w:b/>
          <w:color w:val="0F2A44"/>
        </w:rPr>
        <w:t>4.6.1</w:t>
        <w:tab/>
      </w:r>
      <w:r>
        <w:rPr>
          <w:b w:val="0"/>
          <w:i w:val="0"/>
        </w:rPr>
        <w:t>Areas holding Confidential or Restricted information or critical equipment shall have controlled entry, and entry shall be logged.</w:t>
      </w:r>
    </w:p>
    <w:p>
      <w:pPr>
        <w:tabs>
          <w:tab w:pos="794" w:val="left"/>
        </w:tabs>
        <w:spacing w:after="60"/>
        <w:ind w:left="794" w:hanging="794"/>
      </w:pPr>
      <w:r>
        <w:rPr>
          <w:b/>
          <w:color w:val="0F2A44"/>
        </w:rPr>
        <w:t>4.6.2</w:t>
        <w:tab/>
      </w:r>
      <w:r>
        <w:rPr>
          <w:b w:val="0"/>
          <w:i w:val="0"/>
        </w:rPr>
        <w:t>Visitors shall be registered and escorted. Screens shall be locked and sensitive papers cleared away when unattended.</w:t>
      </w:r>
    </w:p>
    <w:p>
      <w:pPr>
        <w:keepNext/>
        <w:spacing w:after="40" w:before="160"/>
      </w:pPr>
      <w:r>
        <w:rPr>
          <w:b/>
          <w:i w:val="0"/>
          <w:color w:val="0E7C86"/>
          <w:sz w:val="23"/>
        </w:rPr>
        <w:t>4.7  Suppliers, incidents and continuity</w:t>
      </w:r>
    </w:p>
    <w:p>
      <w:pPr>
        <w:tabs>
          <w:tab w:pos="794" w:val="left"/>
        </w:tabs>
        <w:spacing w:after="60"/>
        <w:ind w:left="794" w:hanging="794"/>
      </w:pPr>
      <w:r>
        <w:rPr>
          <w:b/>
          <w:color w:val="0F2A44"/>
        </w:rPr>
        <w:t>4.7.1</w:t>
        <w:tab/>
      </w:r>
      <w:r>
        <w:rPr>
          <w:b w:val="0"/>
          <w:i w:val="0"/>
        </w:rPr>
        <w:t xml:space="preserve">Suppliers that handle </w:t>
      </w:r>
      <w:r>
        <w:rPr>
          <w:b w:val="0"/>
          <w:i w:val="0"/>
          <w:highlight w:val="yellow"/>
        </w:rPr>
        <w:t>[Company Name]</w:t>
      </w:r>
      <w:r>
        <w:rPr>
          <w:b w:val="0"/>
          <w:i w:val="0"/>
        </w:rPr>
        <w:t xml:space="preserve"> information shall be managed under the Vendor (Third-Party) Management Policy.</w:t>
      </w:r>
    </w:p>
    <w:p>
      <w:pPr>
        <w:tabs>
          <w:tab w:pos="794" w:val="left"/>
        </w:tabs>
        <w:spacing w:after="60"/>
        <w:ind w:left="794" w:hanging="794"/>
      </w:pPr>
      <w:r>
        <w:rPr>
          <w:b/>
          <w:color w:val="0F2A44"/>
        </w:rPr>
        <w:t>4.7.2</w:t>
        <w:tab/>
      </w:r>
      <w:r>
        <w:rPr>
          <w:b w:val="0"/>
          <w:i w:val="0"/>
        </w:rPr>
        <w:t>Suspected security events shall be reported without delay and handled under the Incident Response Policy.</w:t>
      </w:r>
    </w:p>
    <w:p>
      <w:pPr>
        <w:tabs>
          <w:tab w:pos="794" w:val="left"/>
        </w:tabs>
        <w:spacing w:after="60"/>
        <w:ind w:left="794" w:hanging="794"/>
      </w:pPr>
      <w:r>
        <w:rPr>
          <w:b/>
          <w:color w:val="0F2A44"/>
        </w:rPr>
        <w:t>4.7.3</w:t>
        <w:tab/>
      </w:r>
      <w:r>
        <w:rPr>
          <w:b w:val="0"/>
          <w:i w:val="0"/>
        </w:rPr>
        <w:t xml:space="preserve">Business continuity and recovery arrangements for critical services shall be documented and tested at least </w:t>
      </w:r>
      <w:r>
        <w:rPr>
          <w:b w:val="0"/>
          <w:i w:val="0"/>
          <w:highlight w:val="yellow"/>
        </w:rPr>
        <w:t>[annually]</w:t>
      </w:r>
      <w:r>
        <w:rPr>
          <w:b w:val="0"/>
          <w:i w:val="0"/>
        </w:rPr>
        <w:t>.</w:t>
      </w:r>
    </w:p>
    <w:p>
      <w:pPr>
        <w:keepNext/>
        <w:spacing w:after="40" w:before="160"/>
      </w:pPr>
      <w:r>
        <w:rPr>
          <w:b/>
          <w:i w:val="0"/>
          <w:color w:val="0E7C86"/>
          <w:sz w:val="23"/>
        </w:rPr>
        <w:t>4.8  Legal, regulatory and contractual compliance</w:t>
      </w:r>
    </w:p>
    <w:p>
      <w:pPr>
        <w:tabs>
          <w:tab w:pos="794" w:val="left"/>
        </w:tabs>
        <w:spacing w:after="60"/>
        <w:ind w:left="794" w:hanging="794"/>
      </w:pPr>
      <w:r>
        <w:rPr>
          <w:b/>
          <w:color w:val="0F2A44"/>
        </w:rPr>
        <w:t>4.8.1</w:t>
        <w:tab/>
      </w:r>
      <w:r>
        <w:rPr>
          <w:b w:val="0"/>
          <w:i w:val="0"/>
          <w:highlight w:val="yellow"/>
        </w:rPr>
        <w:t>[Company Name]</w:t>
      </w:r>
      <w:r>
        <w:rPr>
          <w:b w:val="0"/>
          <w:i w:val="0"/>
        </w:rPr>
        <w:t xml:space="preserve"> shall keep a register of the legal, regulatory and contractual obligations that affect information security, with an owner for each.</w:t>
      </w:r>
    </w:p>
    <w:p>
      <w:pPr>
        <w:tabs>
          <w:tab w:pos="794" w:val="left"/>
        </w:tabs>
        <w:spacing w:after="60"/>
        <w:ind w:left="794" w:hanging="794"/>
      </w:pPr>
      <w:r>
        <w:rPr>
          <w:b/>
          <w:color w:val="0F2A44"/>
        </w:rPr>
        <w:t>4.8.2</w:t>
        <w:tab/>
      </w:r>
      <w:r>
        <w:rPr>
          <w:b w:val="0"/>
          <w:i w:val="0"/>
        </w:rPr>
        <w:t>The framework shall be independently reviewed at planned intervals, and nonconformities shall be recorded, owned and tracked to closure.</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A requirement of this policy may be waived only through the exception process. The request shall state the requirement, the business reason, the risk, compensating controls and a proposed end date.</w:t>
      </w:r>
    </w:p>
    <w:p>
      <w:pPr>
        <w:tabs>
          <w:tab w:pos="794" w:val="left"/>
        </w:tabs>
        <w:spacing w:after="60"/>
        <w:ind w:left="794" w:hanging="794"/>
      </w:pPr>
      <w:r>
        <w:rPr>
          <w:b/>
          <w:color w:val="0F2A44"/>
        </w:rPr>
        <w:t>5.2</w:t>
        <w:tab/>
      </w:r>
      <w:r>
        <w:rPr>
          <w:b w:val="0"/>
          <w:i w:val="0"/>
        </w:rPr>
        <w:t xml:space="preserve">Exceptions shall be approved by the Information Security Lead and the affected risk owner, shall not run longer than </w:t>
      </w:r>
      <w:r>
        <w:rPr>
          <w:b w:val="0"/>
          <w:i w:val="0"/>
          <w:highlight w:val="yellow"/>
        </w:rPr>
        <w:t>[12 months]</w:t>
      </w:r>
      <w:r>
        <w:rPr>
          <w:b w:val="0"/>
          <w:i w:val="0"/>
        </w:rPr>
        <w:t xml:space="preserve"> without renewal, and shall be recorded in an exception register reviewed at least </w:t>
      </w:r>
      <w:r>
        <w:rPr>
          <w:b w:val="0"/>
          <w:i w:val="0"/>
          <w:highlight w:val="yellow"/>
        </w:rPr>
        <w:t>[quarterly]</w:t>
      </w:r>
      <w:r>
        <w:rPr>
          <w:b w:val="0"/>
          <w:i w:val="0"/>
        </w:rPr>
        <w:t>.</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Compliance is monitored through audits, automated checks and management reviews.</w:t>
      </w:r>
    </w:p>
    <w:p>
      <w:pPr>
        <w:tabs>
          <w:tab w:pos="794" w:val="left"/>
        </w:tabs>
        <w:spacing w:after="60"/>
        <w:ind w:left="794" w:hanging="794"/>
      </w:pPr>
      <w:r>
        <w:rPr>
          <w:b/>
          <w:color w:val="0F2A44"/>
        </w:rPr>
        <w:t>6.2</w:t>
        <w:tab/>
      </w:r>
      <w:r>
        <w:rPr>
          <w:b w:val="0"/>
          <w:i w:val="0"/>
        </w:rPr>
        <w:t>Breaches of this policy may lead to disciplinary action up to and including dismissal or termination of contract, and may be reported to authorities where required.</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shall be reviewed at least </w:t>
      </w:r>
      <w:r>
        <w:rPr>
          <w:b w:val="0"/>
          <w:i w:val="0"/>
          <w:highlight w:val="yellow"/>
        </w:rPr>
        <w:t>[annually]</w:t>
      </w:r>
      <w:r>
        <w:rPr>
          <w:b w:val="0"/>
          <w:i w:val="0"/>
        </w:rPr>
        <w:t xml:space="preserve"> and after significant incidents, organisational change or changes in obligations.</w:t>
      </w:r>
    </w:p>
    <w:p>
      <w:pPr>
        <w:tabs>
          <w:tab w:pos="794" w:val="left"/>
        </w:tabs>
        <w:spacing w:after="60"/>
        <w:ind w:left="794" w:hanging="794"/>
      </w:pPr>
      <w:r>
        <w:rPr>
          <w:b/>
          <w:color w:val="0F2A44"/>
        </w:rPr>
        <w:t>7.2</w:t>
        <w:tab/>
      </w:r>
      <w:r>
        <w:rPr>
          <w:b w:val="0"/>
          <w:i w:val="0"/>
        </w:rPr>
        <w:t xml:space="preserve">Material changes require approval by </w:t>
      </w:r>
      <w:r>
        <w:rPr>
          <w:b w:val="0"/>
          <w:i w:val="0"/>
          <w:highlight w:val="yellow"/>
        </w:rPr>
        <w:t>[Approver]</w:t>
      </w:r>
      <w:r>
        <w:rPr>
          <w:b w:val="0"/>
          <w:i w:val="0"/>
        </w:rPr>
        <w:t>. Staff shall be notified of material changes and acceptance re-recorded where needed.</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Access Control Policy</w:t>
      </w:r>
    </w:p>
    <w:p>
      <w:pPr>
        <w:tabs>
          <w:tab w:pos="567" w:val="left"/>
        </w:tabs>
        <w:spacing w:after="40"/>
        <w:ind w:left="567" w:hanging="283"/>
      </w:pPr>
      <w:r>
        <w:t>•</w:t>
        <w:tab/>
      </w:r>
      <w:r>
        <w:rPr>
          <w:b w:val="0"/>
          <w:i w:val="0"/>
        </w:rPr>
        <w:t>Acceptable Use Policy</w:t>
      </w:r>
    </w:p>
    <w:p>
      <w:pPr>
        <w:tabs>
          <w:tab w:pos="567" w:val="left"/>
        </w:tabs>
        <w:spacing w:after="40"/>
        <w:ind w:left="567" w:hanging="283"/>
      </w:pPr>
      <w:r>
        <w:t>•</w:t>
        <w:tab/>
      </w:r>
      <w:r>
        <w:rPr>
          <w:b w:val="0"/>
          <w:i w:val="0"/>
        </w:rPr>
        <w:t>Risk Management Policy</w:t>
      </w:r>
    </w:p>
    <w:p>
      <w:pPr>
        <w:tabs>
          <w:tab w:pos="567" w:val="left"/>
        </w:tabs>
        <w:spacing w:after="40"/>
        <w:ind w:left="567" w:hanging="283"/>
      </w:pPr>
      <w:r>
        <w:t>•</w:t>
        <w:tab/>
      </w:r>
      <w:r>
        <w:rPr>
          <w:b w:val="0"/>
          <w:i w:val="0"/>
        </w:rPr>
        <w:t>Vendor (Third-Party) Management Policy</w:t>
      </w:r>
    </w:p>
    <w:p>
      <w:pPr>
        <w:tabs>
          <w:tab w:pos="567" w:val="left"/>
        </w:tabs>
        <w:spacing w:after="40"/>
        <w:ind w:left="567" w:hanging="283"/>
      </w:pPr>
      <w:r>
        <w:t>•</w:t>
        <w:tab/>
      </w:r>
      <w:r>
        <w:rPr>
          <w:b w:val="0"/>
          <w:i w:val="0"/>
        </w:rPr>
        <w:t>Incident Response Policy</w:t>
      </w:r>
    </w:p>
    <w:p>
      <w:pPr>
        <w:tabs>
          <w:tab w:pos="567" w:val="left"/>
        </w:tabs>
        <w:spacing w:after="40"/>
        <w:ind w:left="567" w:hanging="283"/>
      </w:pPr>
      <w:r>
        <w:t>•</w:t>
        <w:tab/>
      </w:r>
      <w:r>
        <w:rPr>
          <w:b w:val="0"/>
          <w:i w:val="0"/>
        </w:rPr>
        <w:t>Statement of applicability or control register</w:t>
      </w:r>
    </w:p>
    <w:p>
      <w:pPr>
        <w:tabs>
          <w:tab w:pos="567" w:val="left"/>
        </w:tabs>
        <w:spacing w:after="40"/>
        <w:ind w:left="567" w:hanging="283"/>
      </w:pPr>
      <w:r>
        <w:t>•</w:t>
        <w:tab/>
      </w:r>
      <w:r>
        <w:rPr>
          <w:b w:val="0"/>
          <w:i w:val="0"/>
        </w:rPr>
        <w:t>Legal and contractual obligations register</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Clause 5.2; Annex A 5.1, 5.2, 5.36</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CC1.1, CC1.3, CC5.3</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GV.PO-01, GV.PO-02, GV.RR-02</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Signed and dated policy showing approver and version history</w:t>
            </w:r>
          </w:p>
        </w:tc>
        <w:tc>
          <w:tcPr>
            <w:tcW w:type="dxa" w:w="3402"/>
          </w:tcPr>
          <w:p>
            <w:pPr>
              <w:spacing w:after="0"/>
            </w:pPr>
            <w:r/>
            <w:r>
              <w:rPr>
                <w:b w:val="0"/>
                <w:i w:val="0"/>
                <w:sz w:val="19"/>
              </w:rPr>
              <w:t>Top management endorsement and document control</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Policy acceptance or acknowledgement records for a sample of staff and new joiners</w:t>
            </w:r>
          </w:p>
        </w:tc>
        <w:tc>
          <w:tcPr>
            <w:tcW w:type="dxa" w:w="3402"/>
          </w:tcPr>
          <w:p>
            <w:pPr>
              <w:spacing w:after="0"/>
            </w:pPr>
            <w:r/>
            <w:r>
              <w:rPr>
                <w:b w:val="0"/>
                <w:i w:val="0"/>
                <w:sz w:val="19"/>
              </w:rPr>
              <w:t>Communication and awareness of the policy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Management review minutes with inputs and decisions</w:t>
            </w:r>
          </w:p>
        </w:tc>
        <w:tc>
          <w:tcPr>
            <w:tcW w:type="dxa" w:w="3402"/>
          </w:tcPr>
          <w:p>
            <w:pPr>
              <w:spacing w:after="0"/>
            </w:pPr>
            <w:r/>
            <w:r>
              <w:rPr>
                <w:b w:val="0"/>
                <w:i w:val="0"/>
                <w:sz w:val="19"/>
              </w:rPr>
              <w:t>Leadership involvement and continual improvement</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Security objectives and the metrics reported against them</w:t>
            </w:r>
          </w:p>
        </w:tc>
        <w:tc>
          <w:tcPr>
            <w:tcW w:type="dxa" w:w="3402"/>
          </w:tcPr>
          <w:p>
            <w:pPr>
              <w:spacing w:after="0"/>
            </w:pPr>
            <w:r/>
            <w:r>
              <w:rPr>
                <w:b w:val="0"/>
                <w:i w:val="0"/>
                <w:sz w:val="19"/>
              </w:rPr>
              <w:t>Objectives are measurable and tracked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Statement of applicability or control register with justifications</w:t>
            </w:r>
          </w:p>
        </w:tc>
        <w:tc>
          <w:tcPr>
            <w:tcW w:type="dxa" w:w="3402"/>
          </w:tcPr>
          <w:p>
            <w:pPr>
              <w:spacing w:after="0"/>
            </w:pPr>
            <w:r/>
            <w:r>
              <w:rPr>
                <w:b w:val="0"/>
                <w:i w:val="0"/>
                <w:sz w:val="19"/>
              </w:rPr>
              <w:t>Risk-based selection of controls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Asset inventory with owners and classification</w:t>
            </w:r>
          </w:p>
        </w:tc>
        <w:tc>
          <w:tcPr>
            <w:tcW w:type="dxa" w:w="3402"/>
          </w:tcPr>
          <w:p>
            <w:pPr>
              <w:spacing w:after="0"/>
            </w:pPr>
            <w:r/>
            <w:r>
              <w:rPr>
                <w:b w:val="0"/>
                <w:i w:val="0"/>
                <w:sz w:val="19"/>
              </w:rPr>
              <w:t>Assets are identified and accountable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Training completion report for the audit period</w:t>
            </w:r>
          </w:p>
        </w:tc>
        <w:tc>
          <w:tcPr>
            <w:tcW w:type="dxa" w:w="3402"/>
          </w:tcPr>
          <w:p>
            <w:pPr>
              <w:spacing w:after="0"/>
            </w:pPr>
            <w:r/>
            <w:r>
              <w:rPr>
                <w:b w:val="0"/>
                <w:i w:val="0"/>
                <w:sz w:val="19"/>
              </w:rPr>
              <w:t>Awareness requirement is met</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Most recent internal audit report and corrective action log</w:t>
            </w:r>
          </w:p>
        </w:tc>
        <w:tc>
          <w:tcPr>
            <w:tcW w:type="dxa" w:w="3402"/>
          </w:tcPr>
          <w:p>
            <w:pPr>
              <w:spacing w:after="0"/>
            </w:pPr>
            <w:r/>
            <w:r>
              <w:rPr>
                <w:b w:val="0"/>
                <w:i w:val="0"/>
                <w:sz w:val="19"/>
              </w:rPr>
              <w:t>Independent assurance and follow-through</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Legal and contractual obligations register</w:t>
            </w:r>
          </w:p>
        </w:tc>
        <w:tc>
          <w:tcPr>
            <w:tcW w:type="dxa" w:w="3402"/>
          </w:tcPr>
          <w:p>
            <w:pPr>
              <w:spacing w:after="0"/>
            </w:pPr>
            <w:r/>
            <w:r>
              <w:rPr>
                <w:b w:val="0"/>
                <w:i w:val="0"/>
                <w:sz w:val="19"/>
              </w:rPr>
              <w:t>Obligations are identified and owned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Exception register with approvals and expiry dates</w:t>
            </w:r>
          </w:p>
        </w:tc>
        <w:tc>
          <w:tcPr>
            <w:tcW w:type="dxa" w:w="3402"/>
          </w:tcPr>
          <w:p>
            <w:pPr>
              <w:spacing w:after="0"/>
            </w:pPr>
            <w:r/>
            <w:r>
              <w:rPr>
                <w:b w:val="0"/>
                <w:i w:val="0"/>
                <w:sz w:val="19"/>
              </w:rPr>
              <w:t>Deviations are controlled and time-bound</w:t>
            </w:r>
          </w:p>
        </w:tc>
        <w:tc>
          <w:tcPr>
            <w:tcW w:type="dxa" w:w="1928"/>
          </w:tcPr>
          <w:p>
            <w:pPr>
              <w:spacing w:after="0"/>
            </w:pPr>
            <w:r/>
            <w:r>
              <w:rPr>
                <w:b w:val="0"/>
                <w:i w:val="0"/>
                <w:sz w:val="19"/>
                <w:highlight w:val="yellow"/>
              </w:rPr>
              <w:t>[location / owner]</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Information Security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