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20"/>
      </w:pPr>
      <w:r>
        <w:rPr>
          <w:b/>
          <w:i w:val="0"/>
          <w:color w:val="0E7C86"/>
          <w:sz w:val="22"/>
          <w:highlight w:val="yellow"/>
        </w:rPr>
        <w:t>[Company Name]</w:t>
      </w:r>
    </w:p>
    <w:p>
      <w:pPr>
        <w:spacing w:after="40" w:before="0"/>
      </w:pPr>
      <w:r>
        <w:rPr>
          <w:b/>
          <w:i w:val="0"/>
          <w:color w:val="0F2A44"/>
          <w:sz w:val="52"/>
        </w:rPr>
        <w:t>Incident Response Policy</w:t>
      </w:r>
    </w:p>
    <w:p>
      <w:pPr>
        <w:spacing w:after="200" w:before="0"/>
      </w:pPr>
      <w:r>
        <w:rPr>
          <w:b w:val="0"/>
          <w:i w:val="0"/>
          <w:color w:val="5B6B7C"/>
          <w:sz w:val="21"/>
        </w:rPr>
        <w:t>Policy  |  Document ID POL-IRP  |  Draft template</w:t>
      </w:r>
    </w:p>
    <w:p>
      <w:pPr>
        <w:keepNext/>
        <w:spacing w:after="40" w:before="160"/>
      </w:pPr>
      <w:r>
        <w:rPr>
          <w:b/>
          <w:i w:val="0"/>
          <w:color w:val="0E7C86"/>
          <w:sz w:val="23"/>
        </w:rPr>
        <w:t>Document control</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551"/>
        <w:gridCol w:w="7087"/>
      </w:tblGrid>
      <w:tr>
        <w:trPr>
          <w:cantSplit w:val="true"/>
        </w:trPr>
        <w:tc>
          <w:tcPr>
            <w:tcW w:type="dxa" w:w="2551"/>
            <w:shd w:val="clear" w:color="auto" w:fill="E6F1F5"/>
          </w:tcPr>
          <w:p>
            <w:pPr>
              <w:spacing w:after="0"/>
            </w:pPr>
            <w:r/>
            <w:r>
              <w:rPr>
                <w:b/>
                <w:i w:val="0"/>
                <w:color w:val="0F2A44"/>
                <w:sz w:val="19"/>
              </w:rPr>
              <w:t>Document title</w:t>
            </w:r>
          </w:p>
        </w:tc>
        <w:tc>
          <w:tcPr>
            <w:tcW w:type="dxa" w:w="7087"/>
          </w:tcPr>
          <w:p>
            <w:pPr>
              <w:spacing w:after="0"/>
            </w:pPr>
            <w:r/>
            <w:r>
              <w:rPr>
                <w:b w:val="0"/>
                <w:i w:val="0"/>
                <w:sz w:val="19"/>
              </w:rPr>
              <w:t>Incident Response Policy</w:t>
            </w:r>
          </w:p>
        </w:tc>
      </w:tr>
      <w:tr>
        <w:trPr>
          <w:cantSplit w:val="true"/>
        </w:trPr>
        <w:tc>
          <w:tcPr>
            <w:tcW w:type="dxa" w:w="2551"/>
            <w:shd w:val="clear" w:color="auto" w:fill="E6F1F5"/>
          </w:tcPr>
          <w:p>
            <w:pPr>
              <w:spacing w:after="0"/>
            </w:pPr>
            <w:r/>
            <w:r>
              <w:rPr>
                <w:b/>
                <w:i w:val="0"/>
                <w:color w:val="0F2A44"/>
                <w:sz w:val="19"/>
              </w:rPr>
              <w:t>Document ID</w:t>
            </w:r>
          </w:p>
        </w:tc>
        <w:tc>
          <w:tcPr>
            <w:tcW w:type="dxa" w:w="7087"/>
          </w:tcPr>
          <w:p>
            <w:pPr>
              <w:spacing w:after="0"/>
            </w:pPr>
            <w:r/>
            <w:r>
              <w:rPr>
                <w:b w:val="0"/>
                <w:i w:val="0"/>
                <w:sz w:val="19"/>
              </w:rPr>
              <w:t xml:space="preserve">POL-IRP  </w:t>
            </w:r>
            <w:r>
              <w:rPr>
                <w:b w:val="0"/>
                <w:i w:val="0"/>
                <w:sz w:val="19"/>
                <w:highlight w:val="yellow"/>
              </w:rPr>
              <w:t>[adjust to your numbering scheme]</w:t>
            </w:r>
          </w:p>
        </w:tc>
      </w:tr>
      <w:tr>
        <w:trPr>
          <w:cantSplit w:val="true"/>
        </w:trPr>
        <w:tc>
          <w:tcPr>
            <w:tcW w:type="dxa" w:w="2551"/>
            <w:shd w:val="clear" w:color="auto" w:fill="E6F1F5"/>
          </w:tcPr>
          <w:p>
            <w:pPr>
              <w:spacing w:after="0"/>
            </w:pPr>
            <w:r/>
            <w:r>
              <w:rPr>
                <w:b/>
                <w:i w:val="0"/>
                <w:color w:val="0F2A44"/>
                <w:sz w:val="19"/>
              </w:rPr>
              <w:t>Version</w:t>
            </w:r>
          </w:p>
        </w:tc>
        <w:tc>
          <w:tcPr>
            <w:tcW w:type="dxa" w:w="7087"/>
          </w:tcPr>
          <w:p>
            <w:pPr>
              <w:spacing w:after="0"/>
            </w:pPr>
            <w:r/>
            <w:r>
              <w:rPr>
                <w:b w:val="0"/>
                <w:i w:val="0"/>
                <w:sz w:val="19"/>
                <w:highlight w:val="yellow"/>
              </w:rPr>
              <w:t>[1.0]</w:t>
            </w:r>
          </w:p>
        </w:tc>
      </w:tr>
      <w:tr>
        <w:trPr>
          <w:cantSplit w:val="true"/>
        </w:trPr>
        <w:tc>
          <w:tcPr>
            <w:tcW w:type="dxa" w:w="2551"/>
            <w:shd w:val="clear" w:color="auto" w:fill="E6F1F5"/>
          </w:tcPr>
          <w:p>
            <w:pPr>
              <w:spacing w:after="0"/>
            </w:pPr>
            <w:r/>
            <w:r>
              <w:rPr>
                <w:b/>
                <w:i w:val="0"/>
                <w:color w:val="0F2A44"/>
                <w:sz w:val="19"/>
              </w:rPr>
              <w:t>Classification</w:t>
            </w:r>
          </w:p>
        </w:tc>
        <w:tc>
          <w:tcPr>
            <w:tcW w:type="dxa" w:w="7087"/>
          </w:tcPr>
          <w:p>
            <w:pPr>
              <w:spacing w:after="0"/>
            </w:pPr>
            <w:r/>
            <w:r>
              <w:rPr>
                <w:b w:val="0"/>
                <w:i w:val="0"/>
                <w:sz w:val="19"/>
                <w:highlight w:val="yellow"/>
              </w:rPr>
              <w:t>[Internal]</w:t>
            </w:r>
          </w:p>
        </w:tc>
      </w:tr>
      <w:tr>
        <w:trPr>
          <w:cantSplit w:val="true"/>
        </w:trPr>
        <w:tc>
          <w:tcPr>
            <w:tcW w:type="dxa" w:w="2551"/>
            <w:shd w:val="clear" w:color="auto" w:fill="E6F1F5"/>
          </w:tcPr>
          <w:p>
            <w:pPr>
              <w:spacing w:after="0"/>
            </w:pPr>
            <w:r/>
            <w:r>
              <w:rPr>
                <w:b/>
                <w:i w:val="0"/>
                <w:color w:val="0F2A44"/>
                <w:sz w:val="19"/>
              </w:rPr>
              <w:t>Document owner</w:t>
            </w:r>
          </w:p>
        </w:tc>
        <w:tc>
          <w:tcPr>
            <w:tcW w:type="dxa" w:w="7087"/>
          </w:tcPr>
          <w:p>
            <w:pPr>
              <w:spacing w:after="0"/>
            </w:pPr>
            <w:r/>
            <w:r>
              <w:rPr>
                <w:b w:val="0"/>
                <w:i w:val="0"/>
                <w:sz w:val="19"/>
                <w:highlight w:val="yellow"/>
              </w:rPr>
              <w:t>[Owner name and title]</w:t>
            </w:r>
          </w:p>
        </w:tc>
      </w:tr>
      <w:tr>
        <w:trPr>
          <w:cantSplit w:val="true"/>
        </w:trPr>
        <w:tc>
          <w:tcPr>
            <w:tcW w:type="dxa" w:w="2551"/>
            <w:shd w:val="clear" w:color="auto" w:fill="E6F1F5"/>
          </w:tcPr>
          <w:p>
            <w:pPr>
              <w:spacing w:after="0"/>
            </w:pPr>
            <w:r/>
            <w:r>
              <w:rPr>
                <w:b/>
                <w:i w:val="0"/>
                <w:color w:val="0F2A44"/>
                <w:sz w:val="19"/>
              </w:rPr>
              <w:t>Approver</w:t>
            </w:r>
          </w:p>
        </w:tc>
        <w:tc>
          <w:tcPr>
            <w:tcW w:type="dxa" w:w="7087"/>
          </w:tcPr>
          <w:p>
            <w:pPr>
              <w:spacing w:after="0"/>
            </w:pPr>
            <w:r/>
            <w:r>
              <w:rPr>
                <w:b w:val="0"/>
                <w:i w:val="0"/>
                <w:sz w:val="19"/>
                <w:highlight w:val="yellow"/>
              </w:rPr>
              <w:t>[Approver name and title]</w:t>
            </w:r>
          </w:p>
        </w:tc>
      </w:tr>
      <w:tr>
        <w:trPr>
          <w:cantSplit w:val="true"/>
        </w:trPr>
        <w:tc>
          <w:tcPr>
            <w:tcW w:type="dxa" w:w="2551"/>
            <w:shd w:val="clear" w:color="auto" w:fill="E6F1F5"/>
          </w:tcPr>
          <w:p>
            <w:pPr>
              <w:spacing w:after="0"/>
            </w:pPr>
            <w:r/>
            <w:r>
              <w:rPr>
                <w:b/>
                <w:i w:val="0"/>
                <w:color w:val="0F2A44"/>
                <w:sz w:val="19"/>
              </w:rPr>
              <w:t>Approval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Effective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Next review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Status</w:t>
            </w:r>
          </w:p>
        </w:tc>
        <w:tc>
          <w:tcPr>
            <w:tcW w:type="dxa" w:w="7087"/>
          </w:tcPr>
          <w:p>
            <w:pPr>
              <w:spacing w:after="0"/>
            </w:pPr>
            <w:r/>
            <w:r>
              <w:rPr>
                <w:b w:val="0"/>
                <w:i w:val="0"/>
                <w:sz w:val="19"/>
                <w:highlight w:val="yellow"/>
              </w:rPr>
              <w:t>[Draft / Approved / Superseded]</w:t>
            </w:r>
          </w:p>
        </w:tc>
      </w:tr>
    </w:tbl>
    <w:p>
      <w:pPr>
        <w:spacing w:after="40"/>
      </w:pPr>
    </w:p>
    <w:p>
      <w:pPr>
        <w:keepNext/>
        <w:spacing w:after="40" w:before="160"/>
      </w:pPr>
      <w:r>
        <w:rPr>
          <w:b/>
          <w:i w:val="0"/>
          <w:color w:val="0E7C86"/>
          <w:sz w:val="23"/>
        </w:rPr>
        <w:t>Version history</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1247"/>
        <w:gridCol w:w="1701"/>
        <w:gridCol w:w="2268"/>
        <w:gridCol w:w="4422"/>
      </w:tblGrid>
      <w:tr>
        <w:trPr>
          <w:tblHeader w:val="true"/>
          <w:cantSplit w:val="true"/>
        </w:trPr>
        <w:tc>
          <w:tcPr>
            <w:tcW w:type="dxa" w:w="1247"/>
            <w:shd w:val="clear" w:color="auto" w:fill="0F2A44"/>
          </w:tcPr>
          <w:p>
            <w:pPr>
              <w:spacing w:after="0"/>
            </w:pPr>
            <w:r/>
            <w:r>
              <w:rPr>
                <w:b/>
                <w:i w:val="0"/>
                <w:color w:val="FFFFFF"/>
                <w:sz w:val="19"/>
              </w:rPr>
              <w:t>Version</w:t>
            </w:r>
          </w:p>
        </w:tc>
        <w:tc>
          <w:tcPr>
            <w:tcW w:type="dxa" w:w="1701"/>
            <w:shd w:val="clear" w:color="auto" w:fill="0F2A44"/>
          </w:tcPr>
          <w:p>
            <w:pPr>
              <w:spacing w:after="0"/>
            </w:pPr>
            <w:r/>
            <w:r>
              <w:rPr>
                <w:b/>
                <w:i w:val="0"/>
                <w:color w:val="FFFFFF"/>
                <w:sz w:val="19"/>
              </w:rPr>
              <w:t>Date</w:t>
            </w:r>
          </w:p>
        </w:tc>
        <w:tc>
          <w:tcPr>
            <w:tcW w:type="dxa" w:w="2268"/>
            <w:shd w:val="clear" w:color="auto" w:fill="0F2A44"/>
          </w:tcPr>
          <w:p>
            <w:pPr>
              <w:spacing w:after="0"/>
            </w:pPr>
            <w:r/>
            <w:r>
              <w:rPr>
                <w:b/>
                <w:i w:val="0"/>
                <w:color w:val="FFFFFF"/>
                <w:sz w:val="19"/>
              </w:rPr>
              <w:t>Author</w:t>
            </w:r>
          </w:p>
        </w:tc>
        <w:tc>
          <w:tcPr>
            <w:tcW w:type="dxa" w:w="4422"/>
            <w:shd w:val="clear" w:color="auto" w:fill="0F2A44"/>
          </w:tcPr>
          <w:p>
            <w:pPr>
              <w:spacing w:after="0"/>
            </w:pPr>
            <w:r/>
            <w:r>
              <w:rPr>
                <w:b/>
                <w:i w:val="0"/>
                <w:color w:val="FFFFFF"/>
                <w:sz w:val="19"/>
              </w:rPr>
              <w:t>Summary of change</w:t>
            </w:r>
          </w:p>
        </w:tc>
      </w:tr>
      <w:tr>
        <w:trPr>
          <w:cantSplit w:val="true"/>
        </w:trPr>
        <w:tc>
          <w:tcPr>
            <w:tcW w:type="dxa" w:w="1247"/>
          </w:tcPr>
          <w:p>
            <w:pPr>
              <w:spacing w:after="0"/>
            </w:pPr>
            <w:r/>
            <w:r>
              <w:rPr>
                <w:b w:val="0"/>
                <w:i w:val="0"/>
                <w:sz w:val="19"/>
                <w:highlight w:val="yellow"/>
              </w:rPr>
              <w:t>[0.1]</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rPr>
              <w:t>Initial draft from template</w:t>
            </w:r>
          </w:p>
        </w:tc>
      </w:tr>
      <w:tr>
        <w:trPr>
          <w:cantSplit w:val="true"/>
        </w:trPr>
        <w:tc>
          <w:tcPr>
            <w:tcW w:type="dxa" w:w="1247"/>
          </w:tcPr>
          <w:p>
            <w:pPr>
              <w:spacing w:after="0"/>
            </w:pPr>
            <w:r/>
            <w:r>
              <w:rPr>
                <w:b w:val="0"/>
                <w:i w:val="0"/>
                <w:sz w:val="19"/>
                <w:highlight w:val="yellow"/>
              </w:rPr>
              <w:t>[1.0]</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highlight w:val="yellow"/>
              </w:rPr>
              <w:t>[Approved for release]</w:t>
            </w:r>
          </w:p>
        </w:tc>
      </w:tr>
    </w:tbl>
    <w:p>
      <w:pPr>
        <w:spacing w:after="40"/>
      </w:pPr>
    </w:p>
    <w:p>
      <w:pPr>
        <w:spacing w:after="0" w:before="0"/>
      </w:pPr>
      <w:r>
        <w:rPr>
          <w:b w:val="0"/>
          <w:i/>
          <w:color w:val="5B6B7C"/>
          <w:sz w:val="18"/>
        </w:rPr>
        <w:t xml:space="preserve">How to use this template: replace every highlighted </w:t>
      </w:r>
      <w:r>
        <w:rPr>
          <w:b w:val="0"/>
          <w:i/>
          <w:color w:val="5B6B7C"/>
          <w:sz w:val="18"/>
          <w:highlight w:val="yellow"/>
        </w:rPr>
        <w:t>[bracketed value]</w:t>
      </w:r>
      <w:r>
        <w:rPr>
          <w:b w:val="0"/>
          <w:i/>
          <w:color w:val="5B6B7C"/>
          <w:sz w:val="18"/>
        </w:rPr>
        <w:t xml:space="preserve"> with your own, delete anything that does not apply, and add what your organisation does that is not covered. Keep each statement something you can show evidence for.</w:t>
      </w:r>
    </w:p>
    <w:p>
      <w:pPr>
        <w:keepNext/>
        <w:spacing w:after="80" w:before="280"/>
        <w:pBdr>
          <w:bottom w:val="single" w:sz="6" w:space="2" w:color="0E7C86"/>
        </w:pBdr>
      </w:pPr>
      <w:r>
        <w:rPr>
          <w:b/>
          <w:i w:val="0"/>
          <w:color w:val="0F2A44"/>
          <w:sz w:val="28"/>
        </w:rPr>
        <w:t>1. Purpose</w:t>
      </w:r>
    </w:p>
    <w:p>
      <w:pPr>
        <w:spacing w:after="80" w:before="0"/>
      </w:pPr>
      <w:r>
        <w:rPr>
          <w:b w:val="0"/>
          <w:i w:val="0"/>
        </w:rPr>
        <w:t xml:space="preserve">This policy establishes how </w:t>
      </w:r>
      <w:r>
        <w:rPr>
          <w:b w:val="0"/>
          <w:i w:val="0"/>
          <w:highlight w:val="yellow"/>
        </w:rPr>
        <w:t>[Company Name]</w:t>
      </w:r>
      <w:r>
        <w:rPr>
          <w:b w:val="0"/>
          <w:i w:val="0"/>
        </w:rPr>
        <w:t xml:space="preserve"> prepares for, detects, responds to and learns from information security incidents. Its objective is to limit harm, restore service quickly, meet notification duties and prevent repeat events.</w:t>
      </w:r>
    </w:p>
    <w:p>
      <w:pPr>
        <w:spacing w:after="80" w:before="0"/>
      </w:pPr>
      <w:r>
        <w:rPr>
          <w:b w:val="0"/>
          <w:i w:val="0"/>
        </w:rPr>
        <w:t>Speed matters, but so do accuracy and evidence. Responders are expected to act decisively within the authority this policy gives them.</w:t>
      </w:r>
    </w:p>
    <w:p>
      <w:pPr>
        <w:keepNext/>
        <w:spacing w:after="80" w:before="280"/>
        <w:pBdr>
          <w:bottom w:val="single" w:sz="6" w:space="2" w:color="0E7C86"/>
        </w:pBdr>
      </w:pPr>
      <w:r>
        <w:rPr>
          <w:b/>
          <w:i w:val="0"/>
          <w:color w:val="0F2A44"/>
          <w:sz w:val="28"/>
        </w:rPr>
        <w:t>2. Scope</w:t>
      </w:r>
    </w:p>
    <w:p>
      <w:pPr>
        <w:tabs>
          <w:tab w:pos="567" w:val="left"/>
        </w:tabs>
        <w:spacing w:after="40"/>
        <w:ind w:left="567" w:hanging="283"/>
      </w:pPr>
      <w:r>
        <w:t>•</w:t>
        <w:tab/>
      </w:r>
      <w:r>
        <w:rPr>
          <w:b w:val="0"/>
          <w:i w:val="0"/>
        </w:rPr>
        <w:t xml:space="preserve">Any event that actually or potentially compromises the confidentiality, integrity or availability of </w:t>
      </w:r>
      <w:r>
        <w:rPr>
          <w:b w:val="0"/>
          <w:i w:val="0"/>
          <w:highlight w:val="yellow"/>
        </w:rPr>
        <w:t>[Company Name]</w:t>
      </w:r>
      <w:r>
        <w:rPr>
          <w:b w:val="0"/>
          <w:i w:val="0"/>
        </w:rPr>
        <w:t xml:space="preserve"> information or systems, including events at suppliers that affect the organisation.</w:t>
      </w:r>
    </w:p>
    <w:p>
      <w:pPr>
        <w:tabs>
          <w:tab w:pos="567" w:val="left"/>
        </w:tabs>
        <w:spacing w:after="40"/>
        <w:ind w:left="567" w:hanging="283"/>
      </w:pPr>
      <w:r>
        <w:t>•</w:t>
        <w:tab/>
      </w:r>
      <w:r>
        <w:rPr>
          <w:b w:val="0"/>
          <w:i w:val="0"/>
        </w:rPr>
        <w:t>All workers, who are required to report, and the incident response team, who lead the response.</w:t>
      </w:r>
    </w:p>
    <w:p>
      <w:pPr>
        <w:tabs>
          <w:tab w:pos="567" w:val="left"/>
        </w:tabs>
        <w:spacing w:after="40"/>
        <w:ind w:left="567" w:hanging="283"/>
      </w:pPr>
      <w:r>
        <w:t>•</w:t>
        <w:tab/>
      </w:r>
      <w:r>
        <w:rPr>
          <w:b w:val="0"/>
          <w:i w:val="0"/>
        </w:rPr>
        <w:t xml:space="preserve">Incidents involving personal data, which also follow the </w:t>
      </w:r>
      <w:r>
        <w:rPr>
          <w:b w:val="0"/>
          <w:i w:val="0"/>
          <w:highlight w:val="yellow"/>
        </w:rPr>
        <w:t>[privacy breach procedure]</w:t>
      </w:r>
      <w:r>
        <w:rPr>
          <w:b w:val="0"/>
          <w:i w:val="0"/>
        </w:rPr>
        <w:t>.</w:t>
      </w:r>
    </w:p>
    <w:p>
      <w:pPr>
        <w:keepNext/>
        <w:spacing w:after="80" w:before="280"/>
        <w:pBdr>
          <w:bottom w:val="single" w:sz="6" w:space="2" w:color="0E7C86"/>
        </w:pBdr>
      </w:pPr>
      <w:r>
        <w:rPr>
          <w:b/>
          <w:i w:val="0"/>
          <w:color w:val="0F2A44"/>
          <w:sz w:val="28"/>
        </w:rPr>
        <w:t>3. Roles and responsibilities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Role</w:t>
            </w:r>
          </w:p>
        </w:tc>
        <w:tc>
          <w:tcPr>
            <w:tcW w:type="dxa" w:w="6803"/>
            <w:shd w:val="clear" w:color="auto" w:fill="0F2A44"/>
          </w:tcPr>
          <w:p>
            <w:pPr>
              <w:spacing w:after="0"/>
            </w:pPr>
            <w:r/>
            <w:r>
              <w:rPr>
                <w:b/>
                <w:i w:val="0"/>
                <w:color w:val="FFFFFF"/>
                <w:sz w:val="19"/>
              </w:rPr>
              <w:t>Responsibility</w:t>
            </w:r>
          </w:p>
        </w:tc>
      </w:tr>
      <w:tr>
        <w:trPr>
          <w:cantSplit w:val="true"/>
        </w:trPr>
        <w:tc>
          <w:tcPr>
            <w:tcW w:type="dxa" w:w="2835"/>
          </w:tcPr>
          <w:p>
            <w:pPr>
              <w:spacing w:after="0"/>
            </w:pPr>
            <w:r/>
            <w:r>
              <w:rPr>
                <w:b w:val="0"/>
                <w:i w:val="0"/>
                <w:sz w:val="19"/>
              </w:rPr>
              <w:t>Incident Commander</w:t>
            </w:r>
          </w:p>
        </w:tc>
        <w:tc>
          <w:tcPr>
            <w:tcW w:type="dxa" w:w="6803"/>
          </w:tcPr>
          <w:p>
            <w:pPr>
              <w:spacing w:after="0"/>
            </w:pPr>
            <w:r/>
            <w:r>
              <w:rPr>
                <w:b w:val="0"/>
                <w:i w:val="0"/>
                <w:sz w:val="19"/>
              </w:rPr>
              <w:t>Leads the response, decides on containment and escalation and keeps an accurate record. Named per incident from the on-call roster.</w:t>
            </w:r>
          </w:p>
        </w:tc>
      </w:tr>
      <w:tr>
        <w:trPr>
          <w:cantSplit w:val="true"/>
        </w:trPr>
        <w:tc>
          <w:tcPr>
            <w:tcW w:type="dxa" w:w="2835"/>
          </w:tcPr>
          <w:p>
            <w:pPr>
              <w:spacing w:after="0"/>
            </w:pPr>
            <w:r/>
            <w:r>
              <w:rPr>
                <w:b w:val="0"/>
                <w:i w:val="0"/>
                <w:sz w:val="19"/>
              </w:rPr>
              <w:t>Incident response team</w:t>
            </w:r>
          </w:p>
        </w:tc>
        <w:tc>
          <w:tcPr>
            <w:tcW w:type="dxa" w:w="6803"/>
          </w:tcPr>
          <w:p>
            <w:pPr>
              <w:spacing w:after="0"/>
            </w:pPr>
            <w:r/>
            <w:r>
              <w:rPr>
                <w:b w:val="0"/>
                <w:i w:val="0"/>
                <w:sz w:val="19"/>
              </w:rPr>
              <w:t>Security, IT and engineering responders who investigate, contain and recover.</w:t>
            </w:r>
          </w:p>
        </w:tc>
      </w:tr>
      <w:tr>
        <w:trPr>
          <w:cantSplit w:val="true"/>
        </w:trPr>
        <w:tc>
          <w:tcPr>
            <w:tcW w:type="dxa" w:w="2835"/>
          </w:tcPr>
          <w:p>
            <w:pPr>
              <w:spacing w:after="0"/>
            </w:pPr>
            <w:r/>
            <w:r>
              <w:rPr>
                <w:b w:val="0"/>
                <w:i w:val="0"/>
                <w:sz w:val="19"/>
              </w:rPr>
              <w:t>Communications lead</w:t>
            </w:r>
          </w:p>
        </w:tc>
        <w:tc>
          <w:tcPr>
            <w:tcW w:type="dxa" w:w="6803"/>
          </w:tcPr>
          <w:p>
            <w:pPr>
              <w:spacing w:after="0"/>
            </w:pPr>
            <w:r/>
            <w:r>
              <w:rPr>
                <w:b w:val="0"/>
                <w:i w:val="0"/>
                <w:sz w:val="19"/>
              </w:rPr>
              <w:t>Controls all internal and external messaging so only one consistent account is given.</w:t>
            </w:r>
          </w:p>
        </w:tc>
      </w:tr>
      <w:tr>
        <w:trPr>
          <w:cantSplit w:val="true"/>
        </w:trPr>
        <w:tc>
          <w:tcPr>
            <w:tcW w:type="dxa" w:w="2835"/>
          </w:tcPr>
          <w:p>
            <w:pPr>
              <w:spacing w:after="0"/>
            </w:pPr>
            <w:r/>
            <w:r>
              <w:rPr>
                <w:b w:val="0"/>
                <w:i w:val="0"/>
                <w:sz w:val="19"/>
              </w:rPr>
              <w:t>Legal and Privacy</w:t>
            </w:r>
          </w:p>
        </w:tc>
        <w:tc>
          <w:tcPr>
            <w:tcW w:type="dxa" w:w="6803"/>
          </w:tcPr>
          <w:p>
            <w:pPr>
              <w:spacing w:after="0"/>
            </w:pPr>
            <w:r/>
            <w:r>
              <w:rPr>
                <w:b w:val="0"/>
                <w:i w:val="0"/>
                <w:sz w:val="19"/>
              </w:rPr>
              <w:t>Advise on notification duties, privilege, evidence handling and contractual obligations.</w:t>
            </w:r>
          </w:p>
        </w:tc>
      </w:tr>
      <w:tr>
        <w:trPr>
          <w:cantSplit w:val="true"/>
        </w:trPr>
        <w:tc>
          <w:tcPr>
            <w:tcW w:type="dxa" w:w="2835"/>
          </w:tcPr>
          <w:p>
            <w:pPr>
              <w:spacing w:after="0"/>
            </w:pPr>
            <w:r/>
            <w:r>
              <w:rPr>
                <w:b w:val="0"/>
                <w:i w:val="0"/>
                <w:sz w:val="19"/>
              </w:rPr>
              <w:t>Executive sponsor</w:t>
            </w:r>
          </w:p>
        </w:tc>
        <w:tc>
          <w:tcPr>
            <w:tcW w:type="dxa" w:w="6803"/>
          </w:tcPr>
          <w:p>
            <w:pPr>
              <w:spacing w:after="0"/>
            </w:pPr>
            <w:r/>
            <w:r>
              <w:rPr>
                <w:b w:val="0"/>
                <w:i w:val="0"/>
                <w:sz w:val="19"/>
              </w:rPr>
              <w:t>Is informed of Severity 1 and 2 incidents, authorises major business decisions such as shutting down a service.</w:t>
            </w:r>
          </w:p>
        </w:tc>
      </w:tr>
      <w:tr>
        <w:trPr>
          <w:cantSplit w:val="true"/>
        </w:trPr>
        <w:tc>
          <w:tcPr>
            <w:tcW w:type="dxa" w:w="2835"/>
          </w:tcPr>
          <w:p>
            <w:pPr>
              <w:spacing w:after="0"/>
            </w:pPr>
            <w:r/>
            <w:r>
              <w:rPr>
                <w:b w:val="0"/>
                <w:i w:val="0"/>
                <w:sz w:val="19"/>
              </w:rPr>
              <w:t>All personnel</w:t>
            </w:r>
          </w:p>
        </w:tc>
        <w:tc>
          <w:tcPr>
            <w:tcW w:type="dxa" w:w="6803"/>
          </w:tcPr>
          <w:p>
            <w:pPr>
              <w:spacing w:after="0"/>
            </w:pPr>
            <w:r/>
            <w:r>
              <w:rPr>
                <w:b w:val="0"/>
                <w:i w:val="0"/>
                <w:sz w:val="19"/>
              </w:rPr>
              <w:t>Report suspected events immediately and preserve evidence by not altering affected devices.</w:t>
            </w:r>
          </w:p>
        </w:tc>
      </w:tr>
    </w:tbl>
    <w:p>
      <w:pPr>
        <w:spacing w:after="40"/>
      </w:pPr>
    </w:p>
    <w:p>
      <w:pPr>
        <w:keepNext/>
        <w:spacing w:after="80" w:before="280"/>
        <w:pBdr>
          <w:bottom w:val="single" w:sz="6" w:space="2" w:color="0E7C86"/>
        </w:pBdr>
      </w:pPr>
      <w:r>
        <w:rPr>
          <w:b/>
          <w:i w:val="0"/>
          <w:color w:val="0F2A44"/>
          <w:sz w:val="28"/>
        </w:rPr>
        <w:t>4. Policy statements</w:t>
      </w:r>
    </w:p>
    <w:p>
      <w:pPr>
        <w:spacing w:after="40" w:before="0"/>
      </w:pPr>
      <w:r>
        <w:rPr>
          <w:b w:val="0"/>
          <w:i/>
          <w:color w:val="5B6B7C"/>
          <w:sz w:val="19"/>
        </w:rPr>
        <w:t>The word shall indicates a mandatory requirement. Values in brackets are suggested starting points.</w:t>
      </w:r>
    </w:p>
    <w:p>
      <w:pPr>
        <w:keepNext/>
        <w:spacing w:after="40" w:before="160"/>
      </w:pPr>
      <w:r>
        <w:rPr>
          <w:b/>
          <w:i w:val="0"/>
          <w:color w:val="0E7C86"/>
          <w:sz w:val="23"/>
        </w:rPr>
        <w:t>4.1  Definitions and severity</w:t>
      </w:r>
    </w:p>
    <w:p>
      <w:pPr>
        <w:tabs>
          <w:tab w:pos="794" w:val="left"/>
        </w:tabs>
        <w:spacing w:after="60"/>
        <w:ind w:left="794" w:hanging="794"/>
      </w:pPr>
      <w:r>
        <w:rPr>
          <w:b/>
          <w:color w:val="0F2A44"/>
        </w:rPr>
        <w:t>4.1.1</w:t>
        <w:tab/>
      </w:r>
      <w:r>
        <w:rPr>
          <w:b w:val="0"/>
          <w:i w:val="0"/>
        </w:rPr>
        <w:t>An event is any observable occurrence of interest. An incident is an event assessed as a breach, or a probable breach, of security or a threat to service.</w:t>
      </w:r>
    </w:p>
    <w:p>
      <w:pPr>
        <w:tabs>
          <w:tab w:pos="794" w:val="left"/>
        </w:tabs>
        <w:spacing w:after="60"/>
        <w:ind w:left="794" w:hanging="794"/>
      </w:pPr>
      <w:r>
        <w:rPr>
          <w:b/>
          <w:color w:val="0F2A44"/>
        </w:rPr>
        <w:t>4.1.2</w:t>
        <w:tab/>
      </w:r>
      <w:r>
        <w:rPr>
          <w:b w:val="0"/>
          <w:i w:val="0"/>
        </w:rPr>
        <w:t>Incidents shall be classified Severity 1 to 4 using the criteria in Appendix B, and reclassified as facts emerge.</w:t>
      </w:r>
    </w:p>
    <w:p>
      <w:pPr>
        <w:tabs>
          <w:tab w:pos="794" w:val="left"/>
        </w:tabs>
        <w:spacing w:after="60"/>
        <w:ind w:left="794" w:hanging="794"/>
      </w:pPr>
      <w:r>
        <w:rPr>
          <w:b/>
          <w:color w:val="0F2A44"/>
        </w:rPr>
        <w:t>4.1.3</w:t>
        <w:tab/>
      </w:r>
      <w:r>
        <w:rPr>
          <w:b w:val="0"/>
          <w:i w:val="0"/>
        </w:rPr>
        <w:t xml:space="preserve">When severity is uncertain, responders shall classify upward and review within </w:t>
      </w:r>
      <w:r>
        <w:rPr>
          <w:b w:val="0"/>
          <w:i w:val="0"/>
          <w:highlight w:val="yellow"/>
        </w:rPr>
        <w:t>[1 hour]</w:t>
      </w:r>
      <w:r>
        <w:rPr>
          <w:b w:val="0"/>
          <w:i w:val="0"/>
        </w:rPr>
        <w:t>.</w:t>
      </w:r>
    </w:p>
    <w:p>
      <w:pPr>
        <w:keepNext/>
        <w:spacing w:after="40" w:before="160"/>
      </w:pPr>
      <w:r>
        <w:rPr>
          <w:b/>
          <w:i w:val="0"/>
          <w:color w:val="0E7C86"/>
          <w:sz w:val="23"/>
        </w:rPr>
        <w:t>4.2  Preparation</w:t>
      </w:r>
    </w:p>
    <w:p>
      <w:pPr>
        <w:tabs>
          <w:tab w:pos="794" w:val="left"/>
        </w:tabs>
        <w:spacing w:after="60"/>
        <w:ind w:left="794" w:hanging="794"/>
      </w:pPr>
      <w:r>
        <w:rPr>
          <w:b/>
          <w:color w:val="0F2A44"/>
        </w:rPr>
        <w:t>4.2.1</w:t>
        <w:tab/>
      </w:r>
      <w:r>
        <w:rPr>
          <w:b w:val="0"/>
          <w:i w:val="0"/>
        </w:rPr>
        <w:t xml:space="preserve">An incident response plan shall be maintained with roles, escalation paths, decision rights and playbooks for the most likely scenarios for </w:t>
      </w:r>
      <w:r>
        <w:rPr>
          <w:b w:val="0"/>
          <w:i w:val="0"/>
          <w:highlight w:val="yellow"/>
        </w:rPr>
        <w:t>[Company Name]</w:t>
      </w:r>
      <w:r>
        <w:rPr>
          <w:b w:val="0"/>
          <w:i w:val="0"/>
        </w:rPr>
        <w:t>.</w:t>
      </w:r>
    </w:p>
    <w:p>
      <w:pPr>
        <w:tabs>
          <w:tab w:pos="794" w:val="left"/>
        </w:tabs>
        <w:spacing w:after="60"/>
        <w:ind w:left="794" w:hanging="794"/>
      </w:pPr>
      <w:r>
        <w:rPr>
          <w:b/>
          <w:color w:val="0F2A44"/>
        </w:rPr>
        <w:t>4.2.2</w:t>
        <w:tab/>
      </w:r>
      <w:r>
        <w:rPr>
          <w:b w:val="0"/>
          <w:i w:val="0"/>
        </w:rPr>
        <w:t>An on-call roster and an emergency contact list covering responders, executives, legal, key suppliers and insurers shall be kept current and reachable if normal systems are down.</w:t>
      </w:r>
    </w:p>
    <w:p>
      <w:pPr>
        <w:tabs>
          <w:tab w:pos="794" w:val="left"/>
        </w:tabs>
        <w:spacing w:after="60"/>
        <w:ind w:left="794" w:hanging="794"/>
      </w:pPr>
      <w:r>
        <w:rPr>
          <w:b/>
          <w:color w:val="0F2A44"/>
        </w:rPr>
        <w:t>4.2.3</w:t>
        <w:tab/>
      </w:r>
      <w:r>
        <w:rPr>
          <w:b w:val="0"/>
          <w:i w:val="0"/>
        </w:rPr>
        <w:t>Logging, forensic capability and secure storage for evidence shall be in place before they are needed.</w:t>
      </w:r>
    </w:p>
    <w:p>
      <w:pPr>
        <w:tabs>
          <w:tab w:pos="794" w:val="left"/>
        </w:tabs>
        <w:spacing w:after="60"/>
        <w:ind w:left="794" w:hanging="794"/>
      </w:pPr>
      <w:r>
        <w:rPr>
          <w:b/>
          <w:color w:val="0F2A44"/>
        </w:rPr>
        <w:t>4.2.4</w:t>
        <w:tab/>
      </w:r>
      <w:r>
        <w:rPr>
          <w:b w:val="0"/>
          <w:i w:val="0"/>
        </w:rPr>
        <w:t xml:space="preserve">The plan shall be exercised at least </w:t>
      </w:r>
      <w:r>
        <w:rPr>
          <w:b w:val="0"/>
          <w:i w:val="0"/>
          <w:highlight w:val="yellow"/>
        </w:rPr>
        <w:t>[annually]</w:t>
      </w:r>
      <w:r>
        <w:rPr>
          <w:b w:val="0"/>
          <w:i w:val="0"/>
        </w:rPr>
        <w:t xml:space="preserve"> using a realistic scenario, and results and improvements recorded.</w:t>
      </w:r>
    </w:p>
    <w:p>
      <w:pPr>
        <w:keepNext/>
        <w:spacing w:after="40" w:before="160"/>
      </w:pPr>
      <w:r>
        <w:rPr>
          <w:b/>
          <w:i w:val="0"/>
          <w:color w:val="0E7C86"/>
          <w:sz w:val="23"/>
        </w:rPr>
        <w:t>4.3  Detection and reporting</w:t>
      </w:r>
    </w:p>
    <w:p>
      <w:pPr>
        <w:tabs>
          <w:tab w:pos="794" w:val="left"/>
        </w:tabs>
        <w:spacing w:after="60"/>
        <w:ind w:left="794" w:hanging="794"/>
      </w:pPr>
      <w:r>
        <w:rPr>
          <w:b/>
          <w:color w:val="0F2A44"/>
        </w:rPr>
        <w:t>4.3.1</w:t>
        <w:tab/>
      </w:r>
      <w:r>
        <w:rPr>
          <w:b w:val="0"/>
          <w:i w:val="0"/>
        </w:rPr>
        <w:t xml:space="preserve">All personnel shall report a suspected incident immediately through </w:t>
      </w:r>
      <w:r>
        <w:rPr>
          <w:b w:val="0"/>
          <w:i w:val="0"/>
          <w:highlight w:val="yellow"/>
        </w:rPr>
        <w:t>[the security hotline, mailbox or chat channel]</w:t>
      </w:r>
      <w:r>
        <w:rPr>
          <w:b w:val="0"/>
          <w:i w:val="0"/>
        </w:rPr>
        <w:t>, at any hour.</w:t>
      </w:r>
    </w:p>
    <w:p>
      <w:pPr>
        <w:tabs>
          <w:tab w:pos="794" w:val="left"/>
        </w:tabs>
        <w:spacing w:after="60"/>
        <w:ind w:left="794" w:hanging="794"/>
      </w:pPr>
      <w:r>
        <w:rPr>
          <w:b/>
          <w:color w:val="0F2A44"/>
        </w:rPr>
        <w:t>4.3.2</w:t>
        <w:tab/>
      </w:r>
      <w:r>
        <w:rPr>
          <w:b w:val="0"/>
          <w:i w:val="0"/>
        </w:rPr>
        <w:t>Reports made in good faith shall never lead to blame, even if they prove to be false alarms.</w:t>
      </w:r>
    </w:p>
    <w:p>
      <w:pPr>
        <w:tabs>
          <w:tab w:pos="794" w:val="left"/>
        </w:tabs>
        <w:spacing w:after="60"/>
        <w:ind w:left="794" w:hanging="794"/>
      </w:pPr>
      <w:r>
        <w:rPr>
          <w:b/>
          <w:color w:val="0F2A44"/>
        </w:rPr>
        <w:t>4.3.3</w:t>
        <w:tab/>
      </w:r>
      <w:r>
        <w:rPr>
          <w:b w:val="0"/>
          <w:i w:val="0"/>
        </w:rPr>
        <w:t xml:space="preserve">Every report shall be logged and acknowledged within </w:t>
      </w:r>
      <w:r>
        <w:rPr>
          <w:b w:val="0"/>
          <w:i w:val="0"/>
          <w:highlight w:val="yellow"/>
        </w:rPr>
        <w:t>[30 minutes]</w:t>
      </w:r>
      <w:r>
        <w:rPr>
          <w:b w:val="0"/>
          <w:i w:val="0"/>
        </w:rPr>
        <w:t xml:space="preserve"> in working hours and </w:t>
      </w:r>
      <w:r>
        <w:rPr>
          <w:b w:val="0"/>
          <w:i w:val="0"/>
          <w:highlight w:val="yellow"/>
        </w:rPr>
        <w:t>[2 hours]</w:t>
      </w:r>
      <w:r>
        <w:rPr>
          <w:b w:val="0"/>
          <w:i w:val="0"/>
        </w:rPr>
        <w:t xml:space="preserve"> outside them.</w:t>
      </w:r>
    </w:p>
    <w:p>
      <w:pPr>
        <w:keepNext/>
        <w:spacing w:after="40" w:before="160"/>
      </w:pPr>
      <w:r>
        <w:rPr>
          <w:b/>
          <w:i w:val="0"/>
          <w:color w:val="0E7C86"/>
          <w:sz w:val="23"/>
        </w:rPr>
        <w:t>4.4  Assessment and escalation</w:t>
      </w:r>
    </w:p>
    <w:p>
      <w:pPr>
        <w:tabs>
          <w:tab w:pos="794" w:val="left"/>
        </w:tabs>
        <w:spacing w:after="60"/>
        <w:ind w:left="794" w:hanging="794"/>
      </w:pPr>
      <w:r>
        <w:rPr>
          <w:b/>
          <w:color w:val="0F2A44"/>
        </w:rPr>
        <w:t>4.4.1</w:t>
        <w:tab/>
      </w:r>
      <w:r>
        <w:rPr>
          <w:b w:val="0"/>
          <w:i w:val="0"/>
        </w:rPr>
        <w:t>A responder shall verify the report, gather initial facts and set a severity.</w:t>
      </w:r>
    </w:p>
    <w:p>
      <w:pPr>
        <w:tabs>
          <w:tab w:pos="794" w:val="left"/>
        </w:tabs>
        <w:spacing w:after="60"/>
        <w:ind w:left="794" w:hanging="794"/>
      </w:pPr>
      <w:r>
        <w:rPr>
          <w:b/>
          <w:color w:val="0F2A44"/>
        </w:rPr>
        <w:t>4.4.2</w:t>
        <w:tab/>
      </w:r>
      <w:r>
        <w:rPr>
          <w:b w:val="0"/>
          <w:i w:val="0"/>
        </w:rPr>
        <w:t>Severity 1 and 2 incidents shall be escalated to the Incident Commander and executive sponsor without delay, and a response channel opened.</w:t>
      </w:r>
    </w:p>
    <w:p>
      <w:pPr>
        <w:tabs>
          <w:tab w:pos="794" w:val="left"/>
        </w:tabs>
        <w:spacing w:after="60"/>
        <w:ind w:left="794" w:hanging="794"/>
      </w:pPr>
      <w:r>
        <w:rPr>
          <w:b/>
          <w:color w:val="0F2A44"/>
        </w:rPr>
        <w:t>4.4.3</w:t>
        <w:tab/>
      </w:r>
      <w:r>
        <w:rPr>
          <w:b w:val="0"/>
          <w:i w:val="0"/>
        </w:rPr>
        <w:t>A timeline of facts, decisions, the people who made them and the times (with time zone) shall be recorded as events happen.</w:t>
      </w:r>
    </w:p>
    <w:p>
      <w:pPr>
        <w:keepNext/>
        <w:spacing w:after="40" w:before="160"/>
      </w:pPr>
      <w:r>
        <w:rPr>
          <w:b/>
          <w:i w:val="0"/>
          <w:color w:val="0E7C86"/>
          <w:sz w:val="23"/>
        </w:rPr>
        <w:t>4.5  Containment, eradication and recovery</w:t>
      </w:r>
    </w:p>
    <w:p>
      <w:pPr>
        <w:tabs>
          <w:tab w:pos="794" w:val="left"/>
        </w:tabs>
        <w:spacing w:after="60"/>
        <w:ind w:left="794" w:hanging="794"/>
      </w:pPr>
      <w:r>
        <w:rPr>
          <w:b/>
          <w:color w:val="0F2A44"/>
        </w:rPr>
        <w:t>4.5.1</w:t>
        <w:tab/>
      </w:r>
      <w:r>
        <w:rPr>
          <w:b w:val="0"/>
          <w:i w:val="0"/>
        </w:rPr>
        <w:t>The Incident Commander may authorise containment actions, including isolating systems or disabling accounts, without prior business approval where delay would increase harm.</w:t>
      </w:r>
    </w:p>
    <w:p>
      <w:pPr>
        <w:tabs>
          <w:tab w:pos="794" w:val="left"/>
        </w:tabs>
        <w:spacing w:after="60"/>
        <w:ind w:left="794" w:hanging="794"/>
      </w:pPr>
      <w:r>
        <w:rPr>
          <w:b/>
          <w:color w:val="0F2A44"/>
        </w:rPr>
        <w:t>4.5.2</w:t>
        <w:tab/>
      </w:r>
      <w:r>
        <w:rPr>
          <w:b w:val="0"/>
          <w:i w:val="0"/>
        </w:rPr>
        <w:t>Evidence shall be preserved before systems are wiped or rebuilt, using forensic copies where practical, and chain of custody shall be documented.</w:t>
      </w:r>
    </w:p>
    <w:p>
      <w:pPr>
        <w:tabs>
          <w:tab w:pos="794" w:val="left"/>
        </w:tabs>
        <w:spacing w:after="60"/>
        <w:ind w:left="794" w:hanging="794"/>
      </w:pPr>
      <w:r>
        <w:rPr>
          <w:b/>
          <w:color w:val="0F2A44"/>
        </w:rPr>
        <w:t>4.5.3</w:t>
        <w:tab/>
      </w:r>
      <w:r>
        <w:rPr>
          <w:b w:val="0"/>
          <w:i w:val="0"/>
        </w:rPr>
        <w:t>Systems shall be restored from known-good sources, credentials exposed or possibly exposed shall be reset, and recovered systems shall be monitored for signs of recurrence before the incident is closed.</w:t>
      </w:r>
    </w:p>
    <w:p>
      <w:pPr>
        <w:keepNext/>
        <w:spacing w:after="40" w:before="160"/>
      </w:pPr>
      <w:r>
        <w:rPr>
          <w:b/>
          <w:i w:val="0"/>
          <w:color w:val="0E7C86"/>
          <w:sz w:val="23"/>
        </w:rPr>
        <w:t>4.6  Communication and notification</w:t>
      </w:r>
    </w:p>
    <w:p>
      <w:pPr>
        <w:tabs>
          <w:tab w:pos="794" w:val="left"/>
        </w:tabs>
        <w:spacing w:after="60"/>
        <w:ind w:left="794" w:hanging="794"/>
      </w:pPr>
      <w:r>
        <w:rPr>
          <w:b/>
          <w:color w:val="0F2A44"/>
        </w:rPr>
        <w:t>4.6.1</w:t>
        <w:tab/>
      </w:r>
      <w:r>
        <w:rPr>
          <w:b w:val="0"/>
          <w:i w:val="0"/>
        </w:rPr>
        <w:t>Only the Communications lead, or someone they authorise, may make statements outside the response team.</w:t>
      </w:r>
    </w:p>
    <w:p>
      <w:pPr>
        <w:tabs>
          <w:tab w:pos="794" w:val="left"/>
        </w:tabs>
        <w:spacing w:after="60"/>
        <w:ind w:left="794" w:hanging="794"/>
      </w:pPr>
      <w:r>
        <w:rPr>
          <w:b/>
          <w:color w:val="0F2A44"/>
        </w:rPr>
        <w:t>4.6.2</w:t>
        <w:tab/>
      </w:r>
      <w:r>
        <w:rPr>
          <w:b w:val="0"/>
          <w:i w:val="0"/>
        </w:rPr>
        <w:t>Legal and Privacy shall assess, for each qualifying incident, the statutory, regulatory and contractual notification duties listed in the legal register, record the decision and its timing, and notify affected parties as required.</w:t>
      </w:r>
    </w:p>
    <w:p>
      <w:pPr>
        <w:tabs>
          <w:tab w:pos="794" w:val="left"/>
        </w:tabs>
        <w:spacing w:after="60"/>
        <w:ind w:left="794" w:hanging="794"/>
      </w:pPr>
      <w:r>
        <w:rPr>
          <w:b/>
          <w:color w:val="0F2A44"/>
        </w:rPr>
        <w:t>4.6.3</w:t>
        <w:tab/>
      </w:r>
      <w:r>
        <w:rPr>
          <w:b w:val="0"/>
          <w:i w:val="0"/>
        </w:rPr>
        <w:t>Customers, insurers, law enforcement and regulators shall be contacted only through the roles named in the plan.</w:t>
      </w:r>
    </w:p>
    <w:p>
      <w:pPr>
        <w:keepNext/>
        <w:spacing w:after="40" w:before="160"/>
      </w:pPr>
      <w:r>
        <w:rPr>
          <w:b/>
          <w:i w:val="0"/>
          <w:color w:val="0E7C86"/>
          <w:sz w:val="23"/>
        </w:rPr>
        <w:t>4.7  Post-incident review</w:t>
      </w:r>
    </w:p>
    <w:p>
      <w:pPr>
        <w:tabs>
          <w:tab w:pos="794" w:val="left"/>
        </w:tabs>
        <w:spacing w:after="60"/>
        <w:ind w:left="794" w:hanging="794"/>
      </w:pPr>
      <w:r>
        <w:rPr>
          <w:b/>
          <w:color w:val="0F2A44"/>
        </w:rPr>
        <w:t>4.7.1</w:t>
        <w:tab/>
      </w:r>
      <w:r>
        <w:rPr>
          <w:b w:val="0"/>
          <w:i w:val="0"/>
        </w:rPr>
        <w:t xml:space="preserve">A blameless review shall be held within </w:t>
      </w:r>
      <w:r>
        <w:rPr>
          <w:b w:val="0"/>
          <w:i w:val="0"/>
          <w:highlight w:val="yellow"/>
        </w:rPr>
        <w:t>[10 working days]</w:t>
      </w:r>
      <w:r>
        <w:rPr>
          <w:b w:val="0"/>
          <w:i w:val="0"/>
        </w:rPr>
        <w:t xml:space="preserve"> of closing a Severity 1 or 2 incident, and for others as the Incident Commander decides.</w:t>
      </w:r>
    </w:p>
    <w:p>
      <w:pPr>
        <w:tabs>
          <w:tab w:pos="794" w:val="left"/>
        </w:tabs>
        <w:spacing w:after="60"/>
        <w:ind w:left="794" w:hanging="794"/>
      </w:pPr>
      <w:r>
        <w:rPr>
          <w:b/>
          <w:color w:val="0F2A44"/>
        </w:rPr>
        <w:t>4.7.2</w:t>
        <w:tab/>
      </w:r>
      <w:r>
        <w:rPr>
          <w:b w:val="0"/>
          <w:i w:val="0"/>
        </w:rPr>
        <w:t>The review shall document the timeline, root cause and contributing factors, what worked, what did not and the actions needed.</w:t>
      </w:r>
    </w:p>
    <w:p>
      <w:pPr>
        <w:tabs>
          <w:tab w:pos="794" w:val="left"/>
        </w:tabs>
        <w:spacing w:after="60"/>
        <w:ind w:left="794" w:hanging="794"/>
      </w:pPr>
      <w:r>
        <w:rPr>
          <w:b/>
          <w:color w:val="0F2A44"/>
        </w:rPr>
        <w:t>4.7.3</w:t>
        <w:tab/>
      </w:r>
      <w:r>
        <w:rPr>
          <w:b w:val="0"/>
          <w:i w:val="0"/>
        </w:rPr>
        <w:t>Actions shall have owners and due dates and be tracked in the risk or issue register until closed.</w:t>
      </w:r>
    </w:p>
    <w:p>
      <w:pPr>
        <w:tabs>
          <w:tab w:pos="794" w:val="left"/>
        </w:tabs>
        <w:spacing w:after="60"/>
        <w:ind w:left="794" w:hanging="794"/>
      </w:pPr>
      <w:r>
        <w:rPr>
          <w:b/>
          <w:color w:val="0F2A44"/>
        </w:rPr>
        <w:t>4.7.4</w:t>
        <w:tab/>
      </w:r>
      <w:r>
        <w:rPr>
          <w:b w:val="0"/>
          <w:i w:val="0"/>
        </w:rPr>
        <w:t>Findings shall be used to update the plan, playbooks, risk assessments and training.</w:t>
      </w:r>
    </w:p>
    <w:p>
      <w:pPr>
        <w:keepNext/>
        <w:spacing w:after="40" w:before="160"/>
      </w:pPr>
      <w:r>
        <w:rPr>
          <w:b/>
          <w:i w:val="0"/>
          <w:color w:val="0E7C86"/>
          <w:sz w:val="23"/>
        </w:rPr>
        <w:t>4.8  Records</w:t>
      </w:r>
    </w:p>
    <w:p>
      <w:pPr>
        <w:tabs>
          <w:tab w:pos="794" w:val="left"/>
        </w:tabs>
        <w:spacing w:after="60"/>
        <w:ind w:left="794" w:hanging="794"/>
      </w:pPr>
      <w:r>
        <w:rPr>
          <w:b/>
          <w:color w:val="0F2A44"/>
        </w:rPr>
        <w:t>4.8.1</w:t>
        <w:tab/>
      </w:r>
      <w:r>
        <w:rPr>
          <w:b w:val="0"/>
          <w:i w:val="0"/>
        </w:rPr>
        <w:t xml:space="preserve">Incident records, timelines, decisions and review reports shall be retained for at least </w:t>
      </w:r>
      <w:r>
        <w:rPr>
          <w:b w:val="0"/>
          <w:i w:val="0"/>
          <w:highlight w:val="yellow"/>
        </w:rPr>
        <w:t>[3 years]</w:t>
      </w:r>
      <w:r>
        <w:rPr>
          <w:b w:val="0"/>
          <w:i w:val="0"/>
        </w:rPr>
        <w:t>, or longer where legal hold applies, and shall be available to auditors on request.</w:t>
      </w:r>
    </w:p>
    <w:p>
      <w:pPr>
        <w:keepNext/>
        <w:spacing w:after="80" w:before="280"/>
        <w:pBdr>
          <w:bottom w:val="single" w:sz="6" w:space="2" w:color="0E7C86"/>
        </w:pBdr>
      </w:pPr>
      <w:r>
        <w:rPr>
          <w:b/>
          <w:i w:val="0"/>
          <w:color w:val="0F2A44"/>
          <w:sz w:val="28"/>
        </w:rPr>
        <w:t>5. Exceptions</w:t>
      </w:r>
    </w:p>
    <w:p>
      <w:pPr>
        <w:tabs>
          <w:tab w:pos="794" w:val="left"/>
        </w:tabs>
        <w:spacing w:after="60"/>
        <w:ind w:left="794" w:hanging="794"/>
      </w:pPr>
      <w:r>
        <w:rPr>
          <w:b/>
          <w:color w:val="0F2A44"/>
        </w:rPr>
        <w:t>5.1</w:t>
        <w:tab/>
      </w:r>
      <w:r>
        <w:rPr>
          <w:b w:val="0"/>
          <w:i w:val="0"/>
        </w:rPr>
        <w:t>Exceptions to the response steps in this policy, such as delaying containment to observe an attacker, shall be authorised by the Incident Commander with the executive sponsor, and the reason recorded in the timeline.</w:t>
      </w:r>
    </w:p>
    <w:p>
      <w:pPr>
        <w:keepNext/>
        <w:spacing w:after="80" w:before="280"/>
        <w:pBdr>
          <w:bottom w:val="single" w:sz="6" w:space="2" w:color="0E7C86"/>
        </w:pBdr>
      </w:pPr>
      <w:r>
        <w:rPr>
          <w:b/>
          <w:i w:val="0"/>
          <w:color w:val="0F2A44"/>
          <w:sz w:val="28"/>
        </w:rPr>
        <w:t>6. Compliance and enforcement</w:t>
      </w:r>
    </w:p>
    <w:p>
      <w:pPr>
        <w:tabs>
          <w:tab w:pos="794" w:val="left"/>
        </w:tabs>
        <w:spacing w:after="60"/>
        <w:ind w:left="794" w:hanging="794"/>
      </w:pPr>
      <w:r>
        <w:rPr>
          <w:b/>
          <w:color w:val="0F2A44"/>
        </w:rPr>
        <w:t>6.1</w:t>
        <w:tab/>
      </w:r>
      <w:r>
        <w:rPr>
          <w:b w:val="0"/>
          <w:i w:val="0"/>
        </w:rPr>
        <w:t>Failure to report a known or suspected incident is a breach of this policy and may lead to disciplinary action.</w:t>
      </w:r>
    </w:p>
    <w:p>
      <w:pPr>
        <w:tabs>
          <w:tab w:pos="794" w:val="left"/>
        </w:tabs>
        <w:spacing w:after="60"/>
        <w:ind w:left="794" w:hanging="794"/>
      </w:pPr>
      <w:r>
        <w:rPr>
          <w:b/>
          <w:color w:val="0F2A44"/>
        </w:rPr>
        <w:t>6.2</w:t>
        <w:tab/>
      </w:r>
      <w:r>
        <w:rPr>
          <w:b w:val="0"/>
          <w:i w:val="0"/>
        </w:rPr>
        <w:t>Tampering with evidence, or obstructing an investigation, will be treated as a serious conduct matter.</w:t>
      </w:r>
    </w:p>
    <w:p>
      <w:pPr>
        <w:keepNext/>
        <w:spacing w:after="80" w:before="280"/>
        <w:pBdr>
          <w:bottom w:val="single" w:sz="6" w:space="2" w:color="0E7C86"/>
        </w:pBdr>
      </w:pPr>
      <w:r>
        <w:rPr>
          <w:b/>
          <w:i w:val="0"/>
          <w:color w:val="0F2A44"/>
          <w:sz w:val="28"/>
        </w:rPr>
        <w:t>7. Review and maintenance</w:t>
      </w:r>
    </w:p>
    <w:p>
      <w:pPr>
        <w:tabs>
          <w:tab w:pos="794" w:val="left"/>
        </w:tabs>
        <w:spacing w:after="60"/>
        <w:ind w:left="794" w:hanging="794"/>
      </w:pPr>
      <w:r>
        <w:rPr>
          <w:b/>
          <w:color w:val="0F2A44"/>
        </w:rPr>
        <w:t>7.1</w:t>
        <w:tab/>
      </w:r>
      <w:r>
        <w:rPr>
          <w:b w:val="0"/>
          <w:i w:val="0"/>
        </w:rPr>
        <w:t xml:space="preserve">This policy and the plan shall be reviewed at least </w:t>
      </w:r>
      <w:r>
        <w:rPr>
          <w:b w:val="0"/>
          <w:i w:val="0"/>
          <w:highlight w:val="yellow"/>
        </w:rPr>
        <w:t>[annually]</w:t>
      </w:r>
      <w:r>
        <w:rPr>
          <w:b w:val="0"/>
          <w:i w:val="0"/>
        </w:rPr>
        <w:t>, after every Severity 1 or 2 incident and after each exercise.</w:t>
      </w:r>
    </w:p>
    <w:p>
      <w:pPr>
        <w:tabs>
          <w:tab w:pos="794" w:val="left"/>
        </w:tabs>
        <w:spacing w:after="60"/>
        <w:ind w:left="794" w:hanging="794"/>
      </w:pPr>
      <w:r>
        <w:rPr>
          <w:b/>
          <w:color w:val="0F2A44"/>
        </w:rPr>
        <w:t>7.2</w:t>
        <w:tab/>
      </w:r>
      <w:r>
        <w:rPr>
          <w:b w:val="0"/>
          <w:i w:val="0"/>
        </w:rPr>
        <w:t xml:space="preserve">Contact lists shall be verified at least </w:t>
      </w:r>
      <w:r>
        <w:rPr>
          <w:b w:val="0"/>
          <w:i w:val="0"/>
          <w:highlight w:val="yellow"/>
        </w:rPr>
        <w:t>[quarterly]</w:t>
      </w:r>
      <w:r>
        <w:rPr>
          <w:b w:val="0"/>
          <w:i w:val="0"/>
        </w:rPr>
        <w:t>.</w:t>
      </w:r>
    </w:p>
    <w:p>
      <w:pPr>
        <w:keepNext/>
        <w:spacing w:after="80" w:before="280"/>
        <w:pBdr>
          <w:bottom w:val="single" w:sz="6" w:space="2" w:color="0E7C86"/>
        </w:pBdr>
      </w:pPr>
      <w:r>
        <w:rPr>
          <w:b/>
          <w:i w:val="0"/>
          <w:color w:val="0F2A44"/>
          <w:sz w:val="28"/>
        </w:rPr>
        <w:t>8. Related documents</w:t>
      </w:r>
    </w:p>
    <w:p>
      <w:pPr>
        <w:tabs>
          <w:tab w:pos="567" w:val="left"/>
        </w:tabs>
        <w:spacing w:after="40"/>
        <w:ind w:left="567" w:hanging="283"/>
      </w:pPr>
      <w:r>
        <w:t>•</w:t>
        <w:tab/>
      </w:r>
      <w:r>
        <w:rPr>
          <w:b w:val="0"/>
          <w:i w:val="0"/>
        </w:rPr>
        <w:t>Information Security Policy</w:t>
      </w:r>
    </w:p>
    <w:p>
      <w:pPr>
        <w:tabs>
          <w:tab w:pos="567" w:val="left"/>
        </w:tabs>
        <w:spacing w:after="40"/>
        <w:ind w:left="567" w:hanging="283"/>
      </w:pPr>
      <w:r>
        <w:t>•</w:t>
        <w:tab/>
      </w:r>
      <w:r>
        <w:rPr>
          <w:b w:val="0"/>
          <w:i w:val="0"/>
        </w:rPr>
        <w:t>Incident response plan and playbooks</w:t>
      </w:r>
    </w:p>
    <w:p>
      <w:pPr>
        <w:tabs>
          <w:tab w:pos="567" w:val="left"/>
        </w:tabs>
        <w:spacing w:after="40"/>
        <w:ind w:left="567" w:hanging="283"/>
      </w:pPr>
      <w:r>
        <w:t>•</w:t>
        <w:tab/>
      </w:r>
      <w:r>
        <w:rPr>
          <w:b w:val="0"/>
          <w:i w:val="0"/>
        </w:rPr>
        <w:t>Privacy breach procedure</w:t>
      </w:r>
    </w:p>
    <w:p>
      <w:pPr>
        <w:tabs>
          <w:tab w:pos="567" w:val="left"/>
        </w:tabs>
        <w:spacing w:after="40"/>
        <w:ind w:left="567" w:hanging="283"/>
      </w:pPr>
      <w:r>
        <w:t>•</w:t>
        <w:tab/>
      </w:r>
      <w:r>
        <w:rPr>
          <w:b w:val="0"/>
          <w:i w:val="0"/>
        </w:rPr>
        <w:t>Business continuity plan</w:t>
      </w:r>
    </w:p>
    <w:p>
      <w:pPr>
        <w:tabs>
          <w:tab w:pos="567" w:val="left"/>
        </w:tabs>
        <w:spacing w:after="40"/>
        <w:ind w:left="567" w:hanging="283"/>
      </w:pPr>
      <w:r>
        <w:t>•</w:t>
        <w:tab/>
      </w:r>
      <w:r>
        <w:rPr>
          <w:b w:val="0"/>
          <w:i w:val="0"/>
        </w:rPr>
        <w:t>Vendor (Third-Party) Management Policy</w:t>
      </w:r>
    </w:p>
    <w:p>
      <w:pPr>
        <w:tabs>
          <w:tab w:pos="567" w:val="left"/>
        </w:tabs>
        <w:spacing w:after="40"/>
        <w:ind w:left="567" w:hanging="283"/>
      </w:pPr>
      <w:r>
        <w:t>•</w:t>
        <w:tab/>
      </w:r>
      <w:r>
        <w:rPr>
          <w:b w:val="0"/>
          <w:i w:val="0"/>
        </w:rPr>
        <w:t>Post-incident review template</w:t>
      </w:r>
    </w:p>
    <w:p>
      <w:pPr>
        <w:keepNext/>
        <w:spacing w:after="80" w:before="280"/>
        <w:pBdr>
          <w:bottom w:val="single" w:sz="6" w:space="2" w:color="0E7C86"/>
        </w:pBdr>
      </w:pPr>
      <w:r>
        <w:rPr>
          <w:b/>
          <w:i w:val="0"/>
          <w:color w:val="0F2A44"/>
          <w:sz w:val="28"/>
        </w:rPr>
        <w:t>9. Framework mapping</w:t>
      </w:r>
    </w:p>
    <w:p>
      <w:pPr>
        <w:spacing w:after="60" w:before="0"/>
      </w:pPr>
      <w:r>
        <w:rPr>
          <w:b w:val="0"/>
          <w:i/>
          <w:color w:val="5B6B7C"/>
          <w:sz w:val="19"/>
        </w:rPr>
        <w:t>For reference only. These identifiers point to areas of each framework that this document supports; it does not by itself demonstrate conformity. Check the current edition of each framework.</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Framework</w:t>
            </w:r>
          </w:p>
        </w:tc>
        <w:tc>
          <w:tcPr>
            <w:tcW w:type="dxa" w:w="6803"/>
            <w:shd w:val="clear" w:color="auto" w:fill="0F2A44"/>
          </w:tcPr>
          <w:p>
            <w:pPr>
              <w:spacing w:after="0"/>
            </w:pPr>
            <w:r/>
            <w:r>
              <w:rPr>
                <w:b/>
                <w:i w:val="0"/>
                <w:color w:val="FFFFFF"/>
                <w:sz w:val="19"/>
              </w:rPr>
              <w:t>Related references</w:t>
            </w:r>
          </w:p>
        </w:tc>
      </w:tr>
      <w:tr>
        <w:trPr>
          <w:cantSplit w:val="true"/>
        </w:trPr>
        <w:tc>
          <w:tcPr>
            <w:tcW w:type="dxa" w:w="2835"/>
          </w:tcPr>
          <w:p>
            <w:pPr>
              <w:spacing w:after="0"/>
            </w:pPr>
            <w:r/>
            <w:r>
              <w:rPr>
                <w:b w:val="0"/>
                <w:i w:val="0"/>
                <w:sz w:val="19"/>
              </w:rPr>
              <w:t>ISO/IEC 27001:2022</w:t>
            </w:r>
          </w:p>
        </w:tc>
        <w:tc>
          <w:tcPr>
            <w:tcW w:type="dxa" w:w="6803"/>
          </w:tcPr>
          <w:p>
            <w:pPr>
              <w:spacing w:after="0"/>
            </w:pPr>
            <w:r/>
            <w:r>
              <w:rPr>
                <w:b w:val="0"/>
                <w:i w:val="0"/>
                <w:sz w:val="19"/>
              </w:rPr>
              <w:t>Annex A 5.24, 5.25, 5.26, 5.27, 5.28, 6.8</w:t>
            </w:r>
          </w:p>
        </w:tc>
      </w:tr>
      <w:tr>
        <w:trPr>
          <w:cantSplit w:val="true"/>
        </w:trPr>
        <w:tc>
          <w:tcPr>
            <w:tcW w:type="dxa" w:w="2835"/>
          </w:tcPr>
          <w:p>
            <w:pPr>
              <w:spacing w:after="0"/>
            </w:pPr>
            <w:r/>
            <w:r>
              <w:rPr>
                <w:b w:val="0"/>
                <w:i w:val="0"/>
                <w:sz w:val="19"/>
              </w:rPr>
              <w:t>SOC 2 (2017 criteria)</w:t>
            </w:r>
          </w:p>
        </w:tc>
        <w:tc>
          <w:tcPr>
            <w:tcW w:type="dxa" w:w="6803"/>
          </w:tcPr>
          <w:p>
            <w:pPr>
              <w:spacing w:after="0"/>
            </w:pPr>
            <w:r/>
            <w:r>
              <w:rPr>
                <w:b w:val="0"/>
                <w:i w:val="0"/>
                <w:sz w:val="19"/>
              </w:rPr>
              <w:t>CC7.3, CC7.4, CC7.5</w:t>
            </w:r>
          </w:p>
        </w:tc>
      </w:tr>
      <w:tr>
        <w:trPr>
          <w:cantSplit w:val="true"/>
        </w:trPr>
        <w:tc>
          <w:tcPr>
            <w:tcW w:type="dxa" w:w="2835"/>
          </w:tcPr>
          <w:p>
            <w:pPr>
              <w:spacing w:after="0"/>
            </w:pPr>
            <w:r/>
            <w:r>
              <w:rPr>
                <w:b w:val="0"/>
                <w:i w:val="0"/>
                <w:sz w:val="19"/>
              </w:rPr>
              <w:t>NIST CSF 2.0</w:t>
            </w:r>
          </w:p>
        </w:tc>
        <w:tc>
          <w:tcPr>
            <w:tcW w:type="dxa" w:w="6803"/>
          </w:tcPr>
          <w:p>
            <w:pPr>
              <w:spacing w:after="0"/>
            </w:pPr>
            <w:r/>
            <w:r>
              <w:rPr>
                <w:b w:val="0"/>
                <w:i w:val="0"/>
                <w:sz w:val="19"/>
              </w:rPr>
              <w:t>RS.MA-01, RS.CO-02, RC.RP-01, ID.IM-04</w:t>
            </w:r>
          </w:p>
        </w:tc>
      </w:tr>
    </w:tbl>
    <w:p>
      <w:pPr>
        <w:spacing w:after="40"/>
      </w:pPr>
    </w:p>
    <w:p>
      <w:r>
        <w:br w:type="page"/>
      </w:r>
    </w:p>
    <w:p>
      <w:pPr>
        <w:keepNext/>
        <w:spacing w:after="80" w:before="280"/>
        <w:pBdr>
          <w:bottom w:val="single" w:sz="6" w:space="2" w:color="0E7C86"/>
        </w:pBdr>
      </w:pPr>
      <w:r>
        <w:rPr>
          <w:b/>
          <w:i w:val="0"/>
          <w:color w:val="0F2A44"/>
          <w:sz w:val="28"/>
        </w:rPr>
        <w:t>Appendix A. Evidence an auditor would typically request</w:t>
      </w:r>
    </w:p>
    <w:p>
      <w:pPr>
        <w:spacing w:after="80" w:before="0"/>
      </w:pPr>
      <w:r>
        <w:rPr>
          <w:b w:val="0"/>
          <w:i w:val="0"/>
        </w:rPr>
        <w:t>Keep this evidence ready and know where each item lives. Tailor the list to your systems and add the location and owner.</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4309"/>
        <w:gridCol w:w="3402"/>
        <w:gridCol w:w="1927"/>
      </w:tblGrid>
      <w:tr>
        <w:trPr>
          <w:tblHeader w:val="true"/>
          <w:cantSplit w:val="true"/>
        </w:trPr>
        <w:tc>
          <w:tcPr>
            <w:tcW w:type="dxa" w:w="4309"/>
            <w:shd w:val="clear" w:color="auto" w:fill="0F2A44"/>
          </w:tcPr>
          <w:p>
            <w:pPr>
              <w:spacing w:after="0"/>
            </w:pPr>
            <w:r/>
            <w:r>
              <w:rPr>
                <w:b/>
                <w:i w:val="0"/>
                <w:color w:val="FFFFFF"/>
                <w:sz w:val="19"/>
              </w:rPr>
              <w:t>Evidence</w:t>
            </w:r>
          </w:p>
        </w:tc>
        <w:tc>
          <w:tcPr>
            <w:tcW w:type="dxa" w:w="3402"/>
            <w:shd w:val="clear" w:color="auto" w:fill="0F2A44"/>
          </w:tcPr>
          <w:p>
            <w:pPr>
              <w:spacing w:after="0"/>
            </w:pPr>
            <w:r/>
            <w:r>
              <w:rPr>
                <w:b/>
                <w:i w:val="0"/>
                <w:color w:val="FFFFFF"/>
                <w:sz w:val="19"/>
              </w:rPr>
              <w:t>What it helps to show</w:t>
            </w:r>
          </w:p>
        </w:tc>
        <w:tc>
          <w:tcPr>
            <w:tcW w:type="dxa" w:w="1928"/>
            <w:shd w:val="clear" w:color="auto" w:fill="0F2A44"/>
          </w:tcPr>
          <w:p>
            <w:pPr>
              <w:spacing w:after="0"/>
            </w:pPr>
            <w:r/>
            <w:r>
              <w:rPr>
                <w:b/>
                <w:i w:val="0"/>
                <w:color w:val="FFFFFF"/>
                <w:sz w:val="19"/>
              </w:rPr>
              <w:t>Location / owner</w:t>
            </w:r>
          </w:p>
        </w:tc>
      </w:tr>
      <w:tr>
        <w:trPr>
          <w:cantSplit w:val="true"/>
        </w:trPr>
        <w:tc>
          <w:tcPr>
            <w:tcW w:type="dxa" w:w="4309"/>
          </w:tcPr>
          <w:p>
            <w:pPr>
              <w:spacing w:after="0"/>
            </w:pPr>
            <w:r/>
            <w:r>
              <w:rPr>
                <w:b w:val="0"/>
                <w:i w:val="0"/>
                <w:sz w:val="19"/>
              </w:rPr>
              <w:t>Approved incident response plan with roles and escalation paths</w:t>
            </w:r>
          </w:p>
        </w:tc>
        <w:tc>
          <w:tcPr>
            <w:tcW w:type="dxa" w:w="3402"/>
          </w:tcPr>
          <w:p>
            <w:pPr>
              <w:spacing w:after="0"/>
            </w:pPr>
            <w:r/>
            <w:r>
              <w:rPr>
                <w:b w:val="0"/>
                <w:i w:val="0"/>
                <w:sz w:val="19"/>
              </w:rPr>
              <w:t>Preparedness and defined accountability</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On-call roster and verified contact list</w:t>
            </w:r>
          </w:p>
        </w:tc>
        <w:tc>
          <w:tcPr>
            <w:tcW w:type="dxa" w:w="3402"/>
          </w:tcPr>
          <w:p>
            <w:pPr>
              <w:spacing w:after="0"/>
            </w:pPr>
            <w:r/>
            <w:r>
              <w:rPr>
                <w:b w:val="0"/>
                <w:i w:val="0"/>
                <w:sz w:val="19"/>
              </w:rPr>
              <w:t>Responders can be reached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Incident log for the audit period with classification and closure dates</w:t>
            </w:r>
          </w:p>
        </w:tc>
        <w:tc>
          <w:tcPr>
            <w:tcW w:type="dxa" w:w="3402"/>
          </w:tcPr>
          <w:p>
            <w:pPr>
              <w:spacing w:after="0"/>
            </w:pPr>
            <w:r/>
            <w:r>
              <w:rPr>
                <w:b w:val="0"/>
                <w:i w:val="0"/>
                <w:sz w:val="19"/>
              </w:rPr>
              <w:t>Incidents are recorded and handled consistently</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Timeline and decision log for a sample of incidents</w:t>
            </w:r>
          </w:p>
        </w:tc>
        <w:tc>
          <w:tcPr>
            <w:tcW w:type="dxa" w:w="3402"/>
          </w:tcPr>
          <w:p>
            <w:pPr>
              <w:spacing w:after="0"/>
            </w:pPr>
            <w:r/>
            <w:r>
              <w:rPr>
                <w:b w:val="0"/>
                <w:i w:val="0"/>
                <w:sz w:val="19"/>
              </w:rPr>
              <w:t>Actions were controlled and traceable</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Notification assessment records for incidents involving personal or customer data</w:t>
            </w:r>
          </w:p>
        </w:tc>
        <w:tc>
          <w:tcPr>
            <w:tcW w:type="dxa" w:w="3402"/>
          </w:tcPr>
          <w:p>
            <w:pPr>
              <w:spacing w:after="0"/>
            </w:pPr>
            <w:r/>
            <w:r>
              <w:rPr>
                <w:b w:val="0"/>
                <w:i w:val="0"/>
                <w:sz w:val="19"/>
              </w:rPr>
              <w:t>Duties were considered and decisions recorded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Post-incident review reports with root cause and actions</w:t>
            </w:r>
          </w:p>
        </w:tc>
        <w:tc>
          <w:tcPr>
            <w:tcW w:type="dxa" w:w="3402"/>
          </w:tcPr>
          <w:p>
            <w:pPr>
              <w:spacing w:after="0"/>
            </w:pPr>
            <w:r/>
            <w:r>
              <w:rPr>
                <w:b w:val="0"/>
                <w:i w:val="0"/>
                <w:sz w:val="19"/>
              </w:rPr>
              <w:t>Learning is captured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Action tracker showing closure of review actions</w:t>
            </w:r>
          </w:p>
        </w:tc>
        <w:tc>
          <w:tcPr>
            <w:tcW w:type="dxa" w:w="3402"/>
          </w:tcPr>
          <w:p>
            <w:pPr>
              <w:spacing w:after="0"/>
            </w:pPr>
            <w:r/>
            <w:r>
              <w:rPr>
                <w:b w:val="0"/>
                <w:i w:val="0"/>
                <w:sz w:val="19"/>
              </w:rPr>
              <w:t>Improvements are completed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Exercise scenario, attendance and results</w:t>
            </w:r>
          </w:p>
        </w:tc>
        <w:tc>
          <w:tcPr>
            <w:tcW w:type="dxa" w:w="3402"/>
          </w:tcPr>
          <w:p>
            <w:pPr>
              <w:spacing w:after="0"/>
            </w:pPr>
            <w:r/>
            <w:r>
              <w:rPr>
                <w:b w:val="0"/>
                <w:i w:val="0"/>
                <w:sz w:val="19"/>
              </w:rPr>
              <w:t>The plan is tested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Evidence handling records and chain of custody forms</w:t>
            </w:r>
          </w:p>
        </w:tc>
        <w:tc>
          <w:tcPr>
            <w:tcW w:type="dxa" w:w="3402"/>
          </w:tcPr>
          <w:p>
            <w:pPr>
              <w:spacing w:after="0"/>
            </w:pPr>
            <w:r/>
            <w:r>
              <w:rPr>
                <w:b w:val="0"/>
                <w:i w:val="0"/>
                <w:sz w:val="19"/>
              </w:rPr>
              <w:t>Evidence preserved properly</w:t>
            </w:r>
          </w:p>
        </w:tc>
        <w:tc>
          <w:tcPr>
            <w:tcW w:type="dxa" w:w="1928"/>
          </w:tcPr>
          <w:p>
            <w:pPr>
              <w:spacing w:after="0"/>
            </w:pPr>
            <w:r/>
            <w:r>
              <w:rPr>
                <w:b w:val="0"/>
                <w:i w:val="0"/>
                <w:sz w:val="19"/>
                <w:highlight w:val="yellow"/>
              </w:rPr>
              <w:t>[location / owner]</w:t>
            </w:r>
          </w:p>
        </w:tc>
      </w:tr>
    </w:tbl>
    <w:p>
      <w:pPr>
        <w:spacing w:after="40"/>
      </w:pPr>
    </w:p>
    <w:p>
      <w:pPr>
        <w:keepNext/>
        <w:spacing w:after="80" w:before="280"/>
        <w:pBdr>
          <w:bottom w:val="single" w:sz="6" w:space="2" w:color="0E7C86"/>
        </w:pBdr>
      </w:pPr>
      <w:r>
        <w:rPr>
          <w:b/>
          <w:i w:val="0"/>
          <w:color w:val="0F2A44"/>
          <w:sz w:val="28"/>
        </w:rPr>
        <w:t>Appendix B. Severity levels</w:t>
      </w:r>
    </w:p>
    <w:p>
      <w:pPr>
        <w:spacing w:after="80" w:before="0"/>
      </w:pPr>
      <w:r>
        <w:rPr>
          <w:b w:val="0"/>
          <w:i w:val="0"/>
        </w:rPr>
        <w:t xml:space="preserve">Adjust the criteria and response targets to </w:t>
      </w:r>
      <w:r>
        <w:rPr>
          <w:b w:val="0"/>
          <w:i w:val="0"/>
          <w:highlight w:val="yellow"/>
        </w:rPr>
        <w:t>[Company Name]</w:t>
      </w:r>
      <w:r>
        <w:rPr>
          <w:b w:val="0"/>
          <w:i w:val="0"/>
        </w:rPr>
        <w:t>. The first matching row from the top applies.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1701"/>
        <w:gridCol w:w="3969"/>
        <w:gridCol w:w="3969"/>
      </w:tblGrid>
      <w:tr>
        <w:trPr>
          <w:tblHeader w:val="true"/>
          <w:cantSplit w:val="true"/>
        </w:trPr>
        <w:tc>
          <w:tcPr>
            <w:tcW w:type="dxa" w:w="1701"/>
            <w:shd w:val="clear" w:color="auto" w:fill="0F2A44"/>
          </w:tcPr>
          <w:p>
            <w:pPr>
              <w:spacing w:after="0"/>
            </w:pPr>
            <w:r/>
            <w:r>
              <w:rPr>
                <w:b/>
                <w:i w:val="0"/>
                <w:color w:val="FFFFFF"/>
                <w:sz w:val="19"/>
              </w:rPr>
              <w:t>Severity</w:t>
            </w:r>
          </w:p>
        </w:tc>
        <w:tc>
          <w:tcPr>
            <w:tcW w:type="dxa" w:w="3969"/>
            <w:shd w:val="clear" w:color="auto" w:fill="0F2A44"/>
          </w:tcPr>
          <w:p>
            <w:pPr>
              <w:spacing w:after="0"/>
            </w:pPr>
            <w:r/>
            <w:r>
              <w:rPr>
                <w:b/>
                <w:i w:val="0"/>
                <w:color w:val="FFFFFF"/>
                <w:sz w:val="19"/>
              </w:rPr>
              <w:t>Typical criteria</w:t>
            </w:r>
          </w:p>
        </w:tc>
        <w:tc>
          <w:tcPr>
            <w:tcW w:type="dxa" w:w="3969"/>
            <w:shd w:val="clear" w:color="auto" w:fill="0F2A44"/>
          </w:tcPr>
          <w:p>
            <w:pPr>
              <w:spacing w:after="0"/>
            </w:pPr>
            <w:r/>
            <w:r>
              <w:rPr>
                <w:b/>
                <w:i w:val="0"/>
                <w:color w:val="FFFFFF"/>
                <w:sz w:val="19"/>
              </w:rPr>
              <w:t>Response target</w:t>
            </w:r>
          </w:p>
        </w:tc>
      </w:tr>
      <w:tr>
        <w:trPr>
          <w:cantSplit w:val="true"/>
        </w:trPr>
        <w:tc>
          <w:tcPr>
            <w:tcW w:type="dxa" w:w="1701"/>
          </w:tcPr>
          <w:p>
            <w:pPr>
              <w:spacing w:after="0"/>
            </w:pPr>
            <w:r/>
            <w:r>
              <w:rPr>
                <w:b w:val="0"/>
                <w:i w:val="0"/>
                <w:sz w:val="19"/>
              </w:rPr>
              <w:t>1 Critical</w:t>
            </w:r>
          </w:p>
        </w:tc>
        <w:tc>
          <w:tcPr>
            <w:tcW w:type="dxa" w:w="3969"/>
          </w:tcPr>
          <w:p>
            <w:pPr>
              <w:spacing w:after="0"/>
            </w:pPr>
            <w:r/>
            <w:r>
              <w:rPr>
                <w:b w:val="0"/>
                <w:i w:val="0"/>
                <w:sz w:val="19"/>
              </w:rPr>
              <w:t>Confirmed compromise of Restricted information, widespread service loss, or active attacker with admin control</w:t>
            </w:r>
          </w:p>
        </w:tc>
        <w:tc>
          <w:tcPr>
            <w:tcW w:type="dxa" w:w="3969"/>
          </w:tcPr>
          <w:p>
            <w:pPr>
              <w:spacing w:after="0"/>
            </w:pPr>
            <w:r/>
            <w:r>
              <w:rPr>
                <w:b w:val="0"/>
                <w:i w:val="0"/>
                <w:sz w:val="19"/>
              </w:rPr>
              <w:t xml:space="preserve">Responders engaged immediately, executive sponsor informed within </w:t>
            </w:r>
            <w:r>
              <w:rPr>
                <w:b w:val="0"/>
                <w:i w:val="0"/>
                <w:sz w:val="19"/>
                <w:highlight w:val="yellow"/>
              </w:rPr>
              <w:t>[1 hour]</w:t>
            </w:r>
          </w:p>
        </w:tc>
      </w:tr>
      <w:tr>
        <w:trPr>
          <w:cantSplit w:val="true"/>
        </w:trPr>
        <w:tc>
          <w:tcPr>
            <w:tcW w:type="dxa" w:w="1701"/>
          </w:tcPr>
          <w:p>
            <w:pPr>
              <w:spacing w:after="0"/>
            </w:pPr>
            <w:r/>
            <w:r>
              <w:rPr>
                <w:b w:val="0"/>
                <w:i w:val="0"/>
                <w:sz w:val="19"/>
              </w:rPr>
              <w:t>2 High</w:t>
            </w:r>
          </w:p>
        </w:tc>
        <w:tc>
          <w:tcPr>
            <w:tcW w:type="dxa" w:w="3969"/>
          </w:tcPr>
          <w:p>
            <w:pPr>
              <w:spacing w:after="0"/>
            </w:pPr>
            <w:r/>
            <w:r>
              <w:rPr>
                <w:b w:val="0"/>
                <w:i w:val="0"/>
                <w:sz w:val="19"/>
              </w:rPr>
              <w:t>Probable compromise of Confidential information, loss of a critical service, or malware on multiple systems</w:t>
            </w:r>
          </w:p>
        </w:tc>
        <w:tc>
          <w:tcPr>
            <w:tcW w:type="dxa" w:w="3969"/>
          </w:tcPr>
          <w:p>
            <w:pPr>
              <w:spacing w:after="0"/>
            </w:pPr>
            <w:r/>
            <w:r>
              <w:rPr>
                <w:b w:val="0"/>
                <w:i w:val="0"/>
                <w:sz w:val="19"/>
              </w:rPr>
              <w:t xml:space="preserve">Responders engaged within </w:t>
            </w:r>
            <w:r>
              <w:rPr>
                <w:b w:val="0"/>
                <w:i w:val="0"/>
                <w:sz w:val="19"/>
                <w:highlight w:val="yellow"/>
              </w:rPr>
              <w:t>[1 hour]</w:t>
            </w:r>
            <w:r>
              <w:rPr>
                <w:b w:val="0"/>
                <w:i w:val="0"/>
                <w:sz w:val="19"/>
              </w:rPr>
              <w:t xml:space="preserve">, sponsor informed within </w:t>
            </w:r>
            <w:r>
              <w:rPr>
                <w:b w:val="0"/>
                <w:i w:val="0"/>
                <w:sz w:val="19"/>
                <w:highlight w:val="yellow"/>
              </w:rPr>
              <w:t>[4 hours]</w:t>
            </w:r>
          </w:p>
        </w:tc>
      </w:tr>
      <w:tr>
        <w:trPr>
          <w:cantSplit w:val="true"/>
        </w:trPr>
        <w:tc>
          <w:tcPr>
            <w:tcW w:type="dxa" w:w="1701"/>
          </w:tcPr>
          <w:p>
            <w:pPr>
              <w:spacing w:after="0"/>
            </w:pPr>
            <w:r/>
            <w:r>
              <w:rPr>
                <w:b w:val="0"/>
                <w:i w:val="0"/>
                <w:sz w:val="19"/>
              </w:rPr>
              <w:t>3 Medium</w:t>
            </w:r>
          </w:p>
        </w:tc>
        <w:tc>
          <w:tcPr>
            <w:tcW w:type="dxa" w:w="3969"/>
          </w:tcPr>
          <w:p>
            <w:pPr>
              <w:spacing w:after="0"/>
            </w:pPr>
            <w:r/>
            <w:r>
              <w:rPr>
                <w:b w:val="0"/>
                <w:i w:val="0"/>
                <w:sz w:val="19"/>
              </w:rPr>
              <w:t>Single-system compromise, a contained policy breach, or an attack that was blocked but needs follow-up</w:t>
            </w:r>
          </w:p>
        </w:tc>
        <w:tc>
          <w:tcPr>
            <w:tcW w:type="dxa" w:w="3969"/>
          </w:tcPr>
          <w:p>
            <w:pPr>
              <w:spacing w:after="0"/>
            </w:pPr>
            <w:r/>
            <w:r>
              <w:rPr>
                <w:b w:val="0"/>
                <w:i w:val="0"/>
                <w:sz w:val="19"/>
              </w:rPr>
              <w:t xml:space="preserve">Handled within </w:t>
            </w:r>
            <w:r>
              <w:rPr>
                <w:b w:val="0"/>
                <w:i w:val="0"/>
                <w:sz w:val="19"/>
                <w:highlight w:val="yellow"/>
              </w:rPr>
              <w:t>[1 working day]</w:t>
            </w:r>
          </w:p>
        </w:tc>
      </w:tr>
      <w:tr>
        <w:trPr>
          <w:cantSplit w:val="true"/>
        </w:trPr>
        <w:tc>
          <w:tcPr>
            <w:tcW w:type="dxa" w:w="1701"/>
          </w:tcPr>
          <w:p>
            <w:pPr>
              <w:spacing w:after="0"/>
            </w:pPr>
            <w:r/>
            <w:r>
              <w:rPr>
                <w:b w:val="0"/>
                <w:i w:val="0"/>
                <w:sz w:val="19"/>
              </w:rPr>
              <w:t>4 Low</w:t>
            </w:r>
          </w:p>
        </w:tc>
        <w:tc>
          <w:tcPr>
            <w:tcW w:type="dxa" w:w="3969"/>
          </w:tcPr>
          <w:p>
            <w:pPr>
              <w:spacing w:after="0"/>
            </w:pPr>
            <w:r/>
            <w:r>
              <w:rPr>
                <w:b w:val="0"/>
                <w:i w:val="0"/>
                <w:sz w:val="19"/>
              </w:rPr>
              <w:t>Minor event with no data or service impact, such as a single phishing email reported before any click</w:t>
            </w:r>
          </w:p>
        </w:tc>
        <w:tc>
          <w:tcPr>
            <w:tcW w:type="dxa" w:w="3969"/>
          </w:tcPr>
          <w:p>
            <w:pPr>
              <w:spacing w:after="0"/>
            </w:pPr>
            <w:r/>
            <w:r>
              <w:rPr>
                <w:b w:val="0"/>
                <w:i w:val="0"/>
                <w:sz w:val="19"/>
              </w:rPr>
              <w:t xml:space="preserve">Handled within </w:t>
            </w:r>
            <w:r>
              <w:rPr>
                <w:b w:val="0"/>
                <w:i w:val="0"/>
                <w:sz w:val="19"/>
                <w:highlight w:val="yellow"/>
              </w:rPr>
              <w:t>[3 working days]</w:t>
            </w:r>
          </w:p>
        </w:tc>
      </w:tr>
    </w:tbl>
    <w:p>
      <w:pPr>
        <w:spacing w:after="40"/>
      </w:pPr>
    </w:p>
    <w:p>
      <w:pPr>
        <w:spacing w:after="80" w:before="200"/>
      </w:pPr>
      <w:r>
        <w:rPr>
          <w:b w:val="0"/>
          <w:i/>
          <w:color w:val="5B6B7C"/>
          <w:sz w:val="18"/>
        </w:rPr>
        <w:t>Starting point to be adapted by the organisation to its own context. Not legal advice.</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color w:val="5B6B7C"/>
        <w:sz w:val="16"/>
      </w:rPr>
      <w:t xml:space="preserve">Starting point to be adapted by the organisation to its own context. Not legal advice.   Page </w:t>
    </w:r>
    <w:r>
      <w:rPr>
        <w:i/>
        <w:color w:val="5B6B7C"/>
        <w:sz w:val="16"/>
      </w:rPr>
      <w:fldChar w:fldCharType="begin"/>
    </w:r>
    <w:r>
      <w:rPr>
        <w:i/>
        <w:color w:val="5B6B7C"/>
        <w:sz w:val="16"/>
      </w:rPr>
      <w:instrText xml:space="preserve">PAGE</w:instrText>
    </w:r>
    <w:r>
      <w:rPr>
        <w:i/>
        <w:color w:val="5B6B7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5B6B7C"/>
        <w:sz w:val="17"/>
        <w:highlight w:val="yellow"/>
      </w:rPr>
      <w:t>[Company Name]</w:t>
    </w:r>
    <w:r>
      <w:rPr>
        <w:b w:val="0"/>
        <w:i w:val="0"/>
        <w:color w:val="5B6B7C"/>
        <w:sz w:val="17"/>
      </w:rPr>
      <w:t xml:space="preserve">  |  Incident Response Policy  |  Version </w:t>
    </w:r>
    <w:r>
      <w:rPr>
        <w:b w:val="0"/>
        <w:i w:val="0"/>
        <w:color w:val="5B6B7C"/>
        <w:sz w:val="17"/>
        <w:highlight w:val="yellow"/>
      </w:rPr>
      <w:t>[1.0]</w:t>
    </w:r>
    <w:r>
      <w:rPr>
        <w:b w:val="0"/>
        <w:i w:val="0"/>
        <w:color w:val="5B6B7C"/>
        <w:sz w:val="17"/>
      </w:rPr>
      <w:t xml:space="preserve">  |  Classification </w:t>
    </w:r>
    <w:r>
      <w:rPr>
        <w:b w:val="0"/>
        <w:i w:val="0"/>
        <w:color w:val="5B6B7C"/>
        <w:sz w:val="17"/>
        <w:highlight w:val="yellow"/>
      </w:rPr>
      <w:t>[Internal]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Response Policy</dc:title>
  <dc:subject>Policy template</dc:subject>
  <dc:creator>GRC template</dc:creator>
  <cp:keywords>template</cp:keywords>
  <dc:description>Starting point to be adapted by the organisation to its own context. Not legal advice.</dc:description>
  <cp:lastModifiedBy>GRC template</cp:lastModifiedBy>
  <cp:revision>1</cp:revision>
  <dcterms:created xsi:type="dcterms:W3CDTF">2013-12-23T23:15:00Z</dcterms:created>
  <dcterms:modified xsi:type="dcterms:W3CDTF">2013-12-23T23:15:00Z</dcterms:modified>
  <cp:category/>
</cp:coreProperties>
</file>